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3b05" w14:textId="f2d3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20 декабря 2023 года № 9/52-VIII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Казыгуртский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8 853 385тысяч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472910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69420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274990тысяч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9 621 027тысяч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445 373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 213015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213015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943048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389 470тысяч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22/133-VIII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2024 году нормативы распределения налоговых поступлений в областной бюджет в размере 50 процентов от индивидуального подоходного налога, корпоративного подоходного налога, индивидуального подоходного налога, социального налога, удерживаемого с доходов иностранных граждан, не облагаемых у источника выплаты.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размеры субвенций, передаваемых из районного бюджета в бюджеты города районного значения, сельских округов на 2024 год в сумме 222 707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Сарапхана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36 685тысяч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Сабыр Рахимова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К.Абдалиев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 тысяч тенге;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размеры трансфертый, передаваемых из районного бюджета в бюджеты города районного значения, сельских округов на 2024 год в сумме 97 974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26 929тысяч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К.Абдалиев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27 384тысяч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тысяч тенге;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2024 год в размере – 63 196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2024-2026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Д.Кубеев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2023 года № 9/52-VIII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22/133-VIII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2023 года № 9/52-VIII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2023 года № 9/52-VIII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2023 года № 9/52-VIII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развития на 2024-2026 годы,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