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19ba" w14:textId="cf01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Казыгуртского района от 20 июня 2022 года № 173 "Об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17 июля 2023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20 июня 2022 года № 173 "Об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Служба управления персоналом обеспечивает проведение заседания Комиссии в соответствии со сроками, согласованными с председателем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70.Служащим корпуса "Б" допускается обжалование результатов оценки в судебном порядке.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главы 6 Методики, а также приложения 9, 10 и 11 Методики действуют до 31 августа 2023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Казыгуртского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Казыгуртского района Р.Е.Тургынбекова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     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