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d64" w14:textId="e6be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Туркестанской области от 21 августа 2023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Ревизионная комиссия по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государственного учреждения "Ревизионная комиссия по Туркестанской области".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опубликование.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КЦИ являются: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методом 360.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