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d119" w14:textId="3b9d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 мая 2023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№ 121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Курмангазинского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Курмангазинского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органа, аким сельского округа – административный государственный служащий корпуса "Б" категории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12) пункта 2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персоналомаппарата акима Курмангазинского района (далее – служба управления персоналом),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координирующего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Параграф 1. Порядок оценки достижения КЦИ</w:t>
      </w:r>
    </w:p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Секретарем Комиссии является сотрудник службы управления персоналом. Секретарь Комиссии не принимает участие в голосовании.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3"/>
    <w:p>
      <w:pPr>
        <w:spacing w:after="0"/>
        <w:ind w:left="0"/>
        <w:jc w:val="both"/>
      </w:pPr>
      <w:bookmarkStart w:name="z212" w:id="194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8"/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6"/>
    <w:p>
      <w:pPr>
        <w:spacing w:after="0"/>
        <w:ind w:left="0"/>
        <w:jc w:val="both"/>
      </w:pPr>
      <w:bookmarkStart w:name="z229" w:id="207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7"/>
    <w:p>
      <w:pPr>
        <w:spacing w:after="0"/>
        <w:ind w:left="0"/>
        <w:jc w:val="both"/>
      </w:pPr>
    </w:p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9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25"/>
    <w:p>
      <w:pPr>
        <w:spacing w:after="0"/>
        <w:ind w:left="0"/>
        <w:jc w:val="both"/>
      </w:pPr>
      <w:bookmarkStart w:name="z254" w:id="22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10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25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11 действует до 31.08.2023 в соответствии с пунктом 2 постановления акимата Курмангазинского района Атырауской области от 05.08.2023 № </w:t>
      </w:r>
      <w:r>
        <w:rPr>
          <w:rFonts w:ascii="Times New Roman"/>
          <w:b w:val="false"/>
          <w:i w:val="false"/>
          <w:color w:val="ff0000"/>
          <w:sz w:val="28"/>
        </w:rPr>
        <w:t>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Комиссии: 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