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1b46" w14:textId="9901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22 июня 2022 года № 141 "Об утверждении государственного образовательного заказа на дошкольное воспитание и обучение, размера родительской платы 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28 ноября 2023 года № 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22 июня 2022 года № 141 "Об утверждении государственного образовательного заказа на дошкольное воспитание и обучение, размера родительской платы в Атырауской области" (зарегистрированное в Реестре государственной регистрации нормативных правовых автов под № 28586)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дошкольное воспитание и обучение в Атырауской области,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отношения возникшие с 1 сентября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Шапкенов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 № 141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в Атырауской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воспитанников в дошкольных организациях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(средняя стоимость расходов)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общего назначения в сельской местности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общего назначения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в группах коррекционного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в группах с туберкулезными, аллергическими заболеваниями, с заболеванием сахарного диабета, ослабленных и часто болеющих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