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7e99" w14:textId="f907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7 апреля 2023 года № 2/5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Мамлютского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опубликования, и распространяется на правоотношения, возникшие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