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d4f9" w14:textId="4ced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Айыртаускому району Северо-Казахстанской области на 2024 - 2025 годы</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6 октября 2023 года № 8-8-2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 Республики Казахстан "О пастбищах"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Айыртаускому району Северо-Казахстанской области на 2024 – 2025 годы.</w:t>
      </w:r>
    </w:p>
    <w:bookmarkEnd w:id="1"/>
    <w:bookmarkStart w:name="z6"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Айыртауского районного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октября 2023 года № 8-8-2</w:t>
            </w:r>
          </w:p>
        </w:tc>
      </w:tr>
    </w:tbl>
    <w:bookmarkStart w:name="z13" w:id="3"/>
    <w:p>
      <w:pPr>
        <w:spacing w:after="0"/>
        <w:ind w:left="0"/>
        <w:jc w:val="left"/>
      </w:pPr>
      <w:r>
        <w:rPr>
          <w:rFonts w:ascii="Times New Roman"/>
          <w:b/>
          <w:i w:val="false"/>
          <w:color w:val="000000"/>
        </w:rPr>
        <w:t xml:space="preserve"> План по управлению пастбищами и их использованию по Айыртаускому району Северо-Казахстанской области на 2024 – 2025 годы</w:t>
      </w:r>
    </w:p>
    <w:bookmarkEnd w:id="3"/>
    <w:bookmarkStart w:name="z14" w:id="4"/>
    <w:p>
      <w:pPr>
        <w:spacing w:after="0"/>
        <w:ind w:left="0"/>
        <w:jc w:val="both"/>
      </w:pPr>
      <w:r>
        <w:rPr>
          <w:rFonts w:ascii="Times New Roman"/>
          <w:b w:val="false"/>
          <w:i w:val="false"/>
          <w:color w:val="000000"/>
          <w:sz w:val="28"/>
        </w:rPr>
        <w:t>
      Настоящий план по управлению пастбищами и их использованию по Айыртаускому району на 2024-2025 годы (далее – план) разработан в соответствии с Законами Республики Казахстан от 20 февраля 2017 года "О пастбищах", от 23 января 2001 года "О местном государственном управлении и самоуправлении в Республике Казахстан", приказом Заместителя Премьер-Министра Республики Казахстан-Министра сельского хозяйства Республики Казахстан от 24 апреля 2017 года № 173 "Об утверждении Правил рационального использования пастбищ" (зарегистрирован в Министерстве юстиции Республики Казахстан 28 апреля 2017 года № 15090), приказом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Министерстве юстиции Республики Казахстан 15 мая 2015 года № 11064).</w:t>
      </w:r>
    </w:p>
    <w:bookmarkEnd w:id="4"/>
    <w:bookmarkStart w:name="z15"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5"/>
    <w:bookmarkStart w:name="z16" w:id="6"/>
    <w:p>
      <w:pPr>
        <w:spacing w:after="0"/>
        <w:ind w:left="0"/>
        <w:jc w:val="both"/>
      </w:pPr>
      <w:r>
        <w:rPr>
          <w:rFonts w:ascii="Times New Roman"/>
          <w:b w:val="false"/>
          <w:i w:val="false"/>
          <w:color w:val="000000"/>
          <w:sz w:val="28"/>
        </w:rPr>
        <w:t>
      В плане учтены традиции выпаса сельскохозяйственных животных на соответствующей территории административно-территориальной единице.</w:t>
      </w:r>
    </w:p>
    <w:bookmarkEnd w:id="6"/>
    <w:bookmarkStart w:name="z17" w:id="7"/>
    <w:p>
      <w:pPr>
        <w:spacing w:after="0"/>
        <w:ind w:left="0"/>
        <w:jc w:val="both"/>
      </w:pPr>
      <w:r>
        <w:rPr>
          <w:rFonts w:ascii="Times New Roman"/>
          <w:b w:val="false"/>
          <w:i w:val="false"/>
          <w:color w:val="000000"/>
          <w:sz w:val="28"/>
        </w:rPr>
        <w:t>
      План содержит:</w:t>
      </w:r>
    </w:p>
    <w:bookmarkEnd w:id="7"/>
    <w:bookmarkStart w:name="z18" w:id="8"/>
    <w:p>
      <w:pPr>
        <w:spacing w:after="0"/>
        <w:ind w:left="0"/>
        <w:jc w:val="both"/>
      </w:pPr>
      <w:r>
        <w:rPr>
          <w:rFonts w:ascii="Times New Roman"/>
          <w:b w:val="false"/>
          <w:i w:val="false"/>
          <w:color w:val="000000"/>
          <w:sz w:val="28"/>
        </w:rPr>
        <w:t>
      1) схему (карту)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 согласно приложению 1 к настоящему плану;</w:t>
      </w:r>
    </w:p>
    <w:bookmarkEnd w:id="8"/>
    <w:bookmarkStart w:name="z19" w:id="9"/>
    <w:p>
      <w:pPr>
        <w:spacing w:after="0"/>
        <w:ind w:left="0"/>
        <w:jc w:val="both"/>
      </w:pPr>
      <w:r>
        <w:rPr>
          <w:rFonts w:ascii="Times New Roman"/>
          <w:b w:val="false"/>
          <w:i w:val="false"/>
          <w:color w:val="000000"/>
          <w:sz w:val="28"/>
        </w:rPr>
        <w:t>
      2) приемлемые схемы пастбище оборотов, согласно приложению 2 к настоящему плану;</w:t>
      </w:r>
    </w:p>
    <w:bookmarkEnd w:id="9"/>
    <w:bookmarkStart w:name="z20" w:id="10"/>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согласно приложению 3 к настоящему плану;</w:t>
      </w:r>
    </w:p>
    <w:bookmarkEnd w:id="10"/>
    <w:bookmarkStart w:name="z21" w:id="11"/>
    <w:p>
      <w:pPr>
        <w:spacing w:after="0"/>
        <w:ind w:left="0"/>
        <w:jc w:val="both"/>
      </w:pPr>
      <w:r>
        <w:rPr>
          <w:rFonts w:ascii="Times New Roman"/>
          <w:b w:val="false"/>
          <w:i w:val="false"/>
          <w:color w:val="000000"/>
          <w:sz w:val="28"/>
        </w:rPr>
        <w:t>
      4) схему доступа пастбище 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согласно приложению 4 к настоящему плану;</w:t>
      </w:r>
    </w:p>
    <w:bookmarkEnd w:id="11"/>
    <w:bookmarkStart w:name="z22" w:id="12"/>
    <w:p>
      <w:pPr>
        <w:spacing w:after="0"/>
        <w:ind w:left="0"/>
        <w:jc w:val="both"/>
      </w:pPr>
      <w:r>
        <w:rPr>
          <w:rFonts w:ascii="Times New Roman"/>
          <w:b w:val="false"/>
          <w:i w:val="false"/>
          <w:color w:val="000000"/>
          <w:sz w:val="28"/>
        </w:rPr>
        <w:t>
      5) календарный график по использованию пастбищ, устанавливающий сезонные маршруты выпаса и передвижения сельскохозяйственных животных, согласно приложению 5 к настоящему плану;</w:t>
      </w:r>
    </w:p>
    <w:bookmarkEnd w:id="12"/>
    <w:bookmarkStart w:name="z23" w:id="13"/>
    <w:p>
      <w:pPr>
        <w:spacing w:after="0"/>
        <w:ind w:left="0"/>
        <w:jc w:val="both"/>
      </w:pPr>
      <w:r>
        <w:rPr>
          <w:rFonts w:ascii="Times New Roman"/>
          <w:b w:val="false"/>
          <w:i w:val="false"/>
          <w:color w:val="000000"/>
          <w:sz w:val="28"/>
        </w:rPr>
        <w:t>
      6) карту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особенности, согласно приложению 6 к настоящему плану;</w:t>
      </w:r>
    </w:p>
    <w:bookmarkEnd w:id="13"/>
    <w:bookmarkStart w:name="z24" w:id="14"/>
    <w:p>
      <w:pPr>
        <w:spacing w:after="0"/>
        <w:ind w:left="0"/>
        <w:jc w:val="both"/>
      </w:pPr>
      <w:r>
        <w:rPr>
          <w:rFonts w:ascii="Times New Roman"/>
          <w:b w:val="false"/>
          <w:i w:val="false"/>
          <w:color w:val="000000"/>
          <w:sz w:val="28"/>
        </w:rPr>
        <w:t>
      7) иные требования, необходимые для рационального использования пастбищ на соответствующей административно-территориальной единице.</w:t>
      </w:r>
    </w:p>
    <w:bookmarkEnd w:id="14"/>
    <w:bookmarkStart w:name="z25" w:id="15"/>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5"/>
    <w:bookmarkStart w:name="z26" w:id="16"/>
    <w:p>
      <w:pPr>
        <w:spacing w:after="0"/>
        <w:ind w:left="0"/>
        <w:jc w:val="both"/>
      </w:pPr>
      <w:r>
        <w:rPr>
          <w:rFonts w:ascii="Times New Roman"/>
          <w:b w:val="false"/>
          <w:i w:val="false"/>
          <w:color w:val="000000"/>
          <w:sz w:val="28"/>
        </w:rPr>
        <w:t>
      По административно-территориальному делению в Айыртауском районе имеются 14 сельских округов, 76 сельских населенных пунктов.</w:t>
      </w:r>
    </w:p>
    <w:bookmarkEnd w:id="16"/>
    <w:bookmarkStart w:name="z27" w:id="17"/>
    <w:p>
      <w:pPr>
        <w:spacing w:after="0"/>
        <w:ind w:left="0"/>
        <w:jc w:val="both"/>
      </w:pPr>
      <w:r>
        <w:rPr>
          <w:rFonts w:ascii="Times New Roman"/>
          <w:b w:val="false"/>
          <w:i w:val="false"/>
          <w:color w:val="000000"/>
          <w:sz w:val="28"/>
        </w:rPr>
        <w:t>
      Общая площадь территории Айыртауского района 960 382 гектар, из них пастбищные земли – 292 253га, в том числе пастбища: в Арыкбалыкском сельском округе-16669 га; Антоновском сельском округе -27565 га; Володарском сельском округе-21014 га; Гусаковском сельском округе -15276 га; Елецком сельском округе-7528 га; Имантауском сельском округе -21517 га; Казанском сельском округе -14607 га; Каратальском сельском округе-19798 га; Камскатинском сельском округе - 31418 га; Константиновском сельском округе-19552 га; Лобановском сельском округе -20644 га; Нижнебурлукском сельском округе -12885 га, Сырымбетском сельском округе -38497 га, Украинском сельском округе -25283 га,.</w:t>
      </w:r>
    </w:p>
    <w:bookmarkEnd w:id="17"/>
    <w:bookmarkStart w:name="z28" w:id="18"/>
    <w:p>
      <w:pPr>
        <w:spacing w:after="0"/>
        <w:ind w:left="0"/>
        <w:jc w:val="both"/>
      </w:pPr>
      <w:r>
        <w:rPr>
          <w:rFonts w:ascii="Times New Roman"/>
          <w:b w:val="false"/>
          <w:i w:val="false"/>
          <w:color w:val="000000"/>
          <w:sz w:val="28"/>
        </w:rPr>
        <w:t>
      По категориям земли подразделяются на:</w:t>
      </w:r>
    </w:p>
    <w:bookmarkEnd w:id="18"/>
    <w:bookmarkStart w:name="z29" w:id="19"/>
    <w:p>
      <w:pPr>
        <w:spacing w:after="0"/>
        <w:ind w:left="0"/>
        <w:jc w:val="both"/>
      </w:pPr>
      <w:r>
        <w:rPr>
          <w:rFonts w:ascii="Times New Roman"/>
          <w:b w:val="false"/>
          <w:i w:val="false"/>
          <w:color w:val="000000"/>
          <w:sz w:val="28"/>
        </w:rPr>
        <w:t>
      земли сельскохозяйственного назначения – 615143 га;</w:t>
      </w:r>
    </w:p>
    <w:bookmarkEnd w:id="19"/>
    <w:bookmarkStart w:name="z30" w:id="20"/>
    <w:p>
      <w:pPr>
        <w:spacing w:after="0"/>
        <w:ind w:left="0"/>
        <w:jc w:val="both"/>
      </w:pPr>
      <w:r>
        <w:rPr>
          <w:rFonts w:ascii="Times New Roman"/>
          <w:b w:val="false"/>
          <w:i w:val="false"/>
          <w:color w:val="000000"/>
          <w:sz w:val="28"/>
        </w:rPr>
        <w:t>
      земли населенных пунктов – 102461 га;</w:t>
      </w:r>
    </w:p>
    <w:bookmarkEnd w:id="20"/>
    <w:bookmarkStart w:name="z31" w:id="21"/>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 8233 га;</w:t>
      </w:r>
    </w:p>
    <w:bookmarkEnd w:id="21"/>
    <w:bookmarkStart w:name="z32" w:id="22"/>
    <w:p>
      <w:pPr>
        <w:spacing w:after="0"/>
        <w:ind w:left="0"/>
        <w:jc w:val="both"/>
      </w:pPr>
      <w:r>
        <w:rPr>
          <w:rFonts w:ascii="Times New Roman"/>
          <w:b w:val="false"/>
          <w:i w:val="false"/>
          <w:color w:val="000000"/>
          <w:sz w:val="28"/>
        </w:rPr>
        <w:t>
      земли запаса – 33695 га.</w:t>
      </w:r>
    </w:p>
    <w:bookmarkEnd w:id="22"/>
    <w:bookmarkStart w:name="z33" w:id="23"/>
    <w:p>
      <w:pPr>
        <w:spacing w:after="0"/>
        <w:ind w:left="0"/>
        <w:jc w:val="both"/>
      </w:pPr>
      <w:r>
        <w:rPr>
          <w:rFonts w:ascii="Times New Roman"/>
          <w:b w:val="false"/>
          <w:i w:val="false"/>
          <w:color w:val="000000"/>
          <w:sz w:val="28"/>
        </w:rPr>
        <w:t>
      Климат района резко континентальный, зима сравнительно холодная, лето жаркое и засушливое. Среднегодовая температура воздуха в январе –</w:t>
      </w:r>
    </w:p>
    <w:bookmarkEnd w:id="23"/>
    <w:bookmarkStart w:name="z34" w:id="24"/>
    <w:p>
      <w:pPr>
        <w:spacing w:after="0"/>
        <w:ind w:left="0"/>
        <w:jc w:val="both"/>
      </w:pPr>
      <w:r>
        <w:rPr>
          <w:rFonts w:ascii="Times New Roman"/>
          <w:b w:val="false"/>
          <w:i w:val="false"/>
          <w:color w:val="000000"/>
          <w:sz w:val="28"/>
        </w:rPr>
        <w:t>
      18,5; -18,7°С, в июле +18,5; +18,7°С. Средний размер осадков составляет -42-58 мм, а годовой- 204 мм.</w:t>
      </w:r>
    </w:p>
    <w:bookmarkEnd w:id="24"/>
    <w:bookmarkStart w:name="z35" w:id="25"/>
    <w:p>
      <w:pPr>
        <w:spacing w:after="0"/>
        <w:ind w:left="0"/>
        <w:jc w:val="both"/>
      </w:pPr>
      <w:r>
        <w:rPr>
          <w:rFonts w:ascii="Times New Roman"/>
          <w:b w:val="false"/>
          <w:i w:val="false"/>
          <w:color w:val="000000"/>
          <w:sz w:val="28"/>
        </w:rPr>
        <w:t>
      Растительный покров района разнообразный, включает примерно 115 видов. Самые распространенные из них зерновые и сложноцветные травы.</w:t>
      </w:r>
    </w:p>
    <w:bookmarkEnd w:id="25"/>
    <w:bookmarkStart w:name="z36" w:id="26"/>
    <w:p>
      <w:pPr>
        <w:spacing w:after="0"/>
        <w:ind w:left="0"/>
        <w:jc w:val="both"/>
      </w:pPr>
      <w:r>
        <w:rPr>
          <w:rFonts w:ascii="Times New Roman"/>
          <w:b w:val="false"/>
          <w:i w:val="false"/>
          <w:color w:val="000000"/>
          <w:sz w:val="28"/>
        </w:rPr>
        <w:t>
      Почвы в районе зонально распределяются так, что в северной части залегают обыкновенные суглинистые черноземы, а к югу они переходят в южные черноземы с более легким составом. Среди черноземов залегают интразональные почвы – комплекс солонцов, солончаков и солонцеватых почв. Черноземные почвы района содержат от 6 до 10% гумуса.</w:t>
      </w:r>
    </w:p>
    <w:bookmarkEnd w:id="26"/>
    <w:bookmarkStart w:name="z37" w:id="27"/>
    <w:p>
      <w:pPr>
        <w:spacing w:after="0"/>
        <w:ind w:left="0"/>
        <w:jc w:val="both"/>
      </w:pPr>
      <w:r>
        <w:rPr>
          <w:rFonts w:ascii="Times New Roman"/>
          <w:b w:val="false"/>
          <w:i w:val="false"/>
          <w:color w:val="000000"/>
          <w:sz w:val="28"/>
        </w:rPr>
        <w:t>
      В районе действуют 14 ветеринарных пунктов, 4 убойных площадок, 30 скотомогильник, 3 сибиреязвенных захоронения.</w:t>
      </w:r>
    </w:p>
    <w:bookmarkEnd w:id="27"/>
    <w:bookmarkStart w:name="z38" w:id="28"/>
    <w:p>
      <w:pPr>
        <w:spacing w:after="0"/>
        <w:ind w:left="0"/>
        <w:jc w:val="both"/>
      </w:pPr>
      <w:r>
        <w:rPr>
          <w:rFonts w:ascii="Times New Roman"/>
          <w:b w:val="false"/>
          <w:i w:val="false"/>
          <w:color w:val="000000"/>
          <w:sz w:val="28"/>
        </w:rPr>
        <w:t>
      В настоящее время в Айыртауском районе насчитывается крупного рогатого скота 45 182 голов, мелкого рогатого скота 47 134 голов, 17 651 голов лошадей, 15 101 голов свиней.</w:t>
      </w:r>
    </w:p>
    <w:bookmarkEnd w:id="28"/>
    <w:bookmarkStart w:name="z39" w:id="29"/>
    <w:p>
      <w:pPr>
        <w:spacing w:after="0"/>
        <w:ind w:left="0"/>
        <w:jc w:val="both"/>
      </w:pPr>
      <w:r>
        <w:rPr>
          <w:rFonts w:ascii="Times New Roman"/>
          <w:b w:val="false"/>
          <w:i w:val="false"/>
          <w:color w:val="000000"/>
          <w:sz w:val="28"/>
        </w:rPr>
        <w:t>
      Для обеспечения сельскохозяйственных животных по Айыртаускому району имеются всего 292 253 га пастбищных угодий. В черте населенного пункта числится 85671 га пастбищ, в землях запаса имеются 33695 га пастбищных угодий.</w:t>
      </w:r>
    </w:p>
    <w:bookmarkEnd w:id="29"/>
    <w:bookmarkStart w:name="z40" w:id="30"/>
    <w:p>
      <w:pPr>
        <w:spacing w:after="0"/>
        <w:ind w:left="0"/>
        <w:jc w:val="both"/>
      </w:pPr>
      <w:r>
        <w:rPr>
          <w:rFonts w:ascii="Times New Roman"/>
          <w:b w:val="false"/>
          <w:i w:val="false"/>
          <w:color w:val="000000"/>
          <w:sz w:val="28"/>
        </w:rPr>
        <w:t>
      Площадь пастбищ Айыртауского района полностью обеспечивает поголовье сельскохозяйственных животных. Отгонных пастбищ, используемых для ведения отгонного животноводства, нет. Тем самым сервитуты для прогона скота не требуются. Также отсутствуют на территории района аридные пастбища.</w:t>
      </w:r>
    </w:p>
    <w:bookmarkEnd w:id="30"/>
    <w:bookmarkStart w:name="z41" w:id="31"/>
    <w:p>
      <w:pPr>
        <w:spacing w:after="0"/>
        <w:ind w:left="0"/>
        <w:jc w:val="both"/>
      </w:pPr>
      <w:r>
        <w:rPr>
          <w:rFonts w:ascii="Times New Roman"/>
          <w:b w:val="false"/>
          <w:i w:val="false"/>
          <w:color w:val="000000"/>
          <w:sz w:val="28"/>
        </w:rPr>
        <w:t>
      Примечание: расшифровка аббревиатуры:</w:t>
      </w:r>
    </w:p>
    <w:bookmarkEnd w:id="31"/>
    <w:bookmarkStart w:name="z42" w:id="32"/>
    <w:p>
      <w:pPr>
        <w:spacing w:after="0"/>
        <w:ind w:left="0"/>
        <w:jc w:val="both"/>
      </w:pPr>
      <w:r>
        <w:rPr>
          <w:rFonts w:ascii="Times New Roman"/>
          <w:b w:val="false"/>
          <w:i w:val="false"/>
          <w:color w:val="000000"/>
          <w:sz w:val="28"/>
        </w:rPr>
        <w:t>
      °С – показатель Цельсия;</w:t>
      </w:r>
    </w:p>
    <w:bookmarkEnd w:id="32"/>
    <w:bookmarkStart w:name="z43" w:id="33"/>
    <w:p>
      <w:pPr>
        <w:spacing w:after="0"/>
        <w:ind w:left="0"/>
        <w:jc w:val="both"/>
      </w:pPr>
      <w:r>
        <w:rPr>
          <w:rFonts w:ascii="Times New Roman"/>
          <w:b w:val="false"/>
          <w:i w:val="false"/>
          <w:color w:val="000000"/>
          <w:sz w:val="28"/>
        </w:rPr>
        <w:t>
      га – гектар;</w:t>
      </w:r>
    </w:p>
    <w:bookmarkEnd w:id="33"/>
    <w:bookmarkStart w:name="z44" w:id="34"/>
    <w:p>
      <w:pPr>
        <w:spacing w:after="0"/>
        <w:ind w:left="0"/>
        <w:jc w:val="both"/>
      </w:pPr>
      <w:r>
        <w:rPr>
          <w:rFonts w:ascii="Times New Roman"/>
          <w:b w:val="false"/>
          <w:i w:val="false"/>
          <w:color w:val="000000"/>
          <w:sz w:val="28"/>
        </w:rPr>
        <w:t>
      мм - миллиметр;</w:t>
      </w:r>
    </w:p>
    <w:bookmarkEnd w:id="34"/>
    <w:bookmarkStart w:name="z45" w:id="35"/>
    <w:p>
      <w:pPr>
        <w:spacing w:after="0"/>
        <w:ind w:left="0"/>
        <w:jc w:val="both"/>
      </w:pPr>
      <w:r>
        <w:rPr>
          <w:rFonts w:ascii="Times New Roman"/>
          <w:b w:val="false"/>
          <w:i w:val="false"/>
          <w:color w:val="000000"/>
          <w:sz w:val="28"/>
        </w:rPr>
        <w:t>
      с/о - сельский округ</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плану по управлению пастбищами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 их использованию по Айыртаускому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району на 2024 – 2025 годы</w:t>
            </w:r>
          </w:p>
        </w:tc>
      </w:tr>
    </w:tbl>
    <w:bookmarkStart w:name="z50" w:id="36"/>
    <w:p>
      <w:pPr>
        <w:spacing w:after="0"/>
        <w:ind w:left="0"/>
        <w:jc w:val="left"/>
      </w:pPr>
      <w:r>
        <w:rPr>
          <w:rFonts w:ascii="Times New Roman"/>
          <w:b/>
          <w:i w:val="false"/>
          <w:color w:val="000000"/>
        </w:rPr>
        <w:t xml:space="preserve"> Схема (карта)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w:t>
      </w:r>
    </w:p>
    <w:bookmarkEnd w:id="36"/>
    <w:bookmarkStart w:name="z51"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схеме расположения пастбищ на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административно-территориальной единицы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разрезе категорий земель, собственников земельных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участков и землепользователей на основании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правоустанавливающих документов</w:t>
            </w:r>
          </w:p>
        </w:tc>
      </w:tr>
    </w:tbl>
    <w:bookmarkStart w:name="z58" w:id="38"/>
    <w:p>
      <w:pPr>
        <w:spacing w:after="0"/>
        <w:ind w:left="0"/>
        <w:jc w:val="left"/>
      </w:pPr>
      <w:r>
        <w:rPr>
          <w:rFonts w:ascii="Times New Roman"/>
          <w:b/>
          <w:i w:val="false"/>
          <w:color w:val="000000"/>
        </w:rPr>
        <w:t xml:space="preserve"> Список землепользователей Айыртауского района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схеме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9"/>
          <w:p>
            <w:pPr>
              <w:spacing w:after="20"/>
              <w:ind w:left="20"/>
              <w:jc w:val="both"/>
            </w:pPr>
            <w:r>
              <w:rPr>
                <w:rFonts w:ascii="Times New Roman"/>
                <w:b w:val="false"/>
                <w:i w:val="false"/>
                <w:color w:val="000000"/>
                <w:sz w:val="20"/>
              </w:rPr>
              <w:t xml:space="preserve">
Кол-во </w:t>
            </w:r>
          </w:p>
          <w:bookmarkEnd w:id="39"/>
          <w:p>
            <w:pPr>
              <w:spacing w:after="20"/>
              <w:ind w:left="20"/>
              <w:jc w:val="both"/>
            </w:pPr>
            <w:r>
              <w:rPr>
                <w:rFonts w:ascii="Times New Roman"/>
                <w:b w:val="false"/>
                <w:i w:val="false"/>
                <w:color w:val="000000"/>
                <w:sz w:val="20"/>
              </w:rPr>
              <w:t>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 землепользования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1.Камсактинский сельский округ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с.Карасевка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Жаркын-СК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с.Светлое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Био 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с.Карасевка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и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с.Светлое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Ратмир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с.Сырымбет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Кумтокен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с.Саумалколь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Grain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ВНП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с.Карасевка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Пушкинское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с.Светлое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негосударственные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ведущие товарное сельскохозяйственное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сельских населенных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с.Карасевка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с.Бирлестык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а.Кумтоккен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с.Орлиногорское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а.Укили Ыбырай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с.Светлое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Орлиногорский лесхоз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ГЛД Камсактинский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с.Орлиногорское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ГЛД Орлиногорское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с.Орлиногорское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Желанная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с.Орлиногорское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ГЛД Встречный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с.Орлиногорское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Карасевка госфонд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с.Карасевка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госфонд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с.Светлое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Камсактинский СЗФ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с.Карасевка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2.Сырымбетский сельский округ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с.Сырымбет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27-36</w:t>
            </w:r>
          </w:p>
          <w:bookmarkEnd w:id="40"/>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с.Сырымбет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с.Сулыколь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Жаркын-СК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с.Светлое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с.Сырымбет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АиК-Агро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с.Сырымбет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Бизнес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АгроГрейн-2016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с.Егиндыагаш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негосударственные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ведущие товарное сельскохозяйственное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сельских населенных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с.Сырымбет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с.Даукара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с.Егиндыагаш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с.Каракамыс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с.Качиловка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с.Сарыбулак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с.Сулыколь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с.Шалакозек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с.Шоккарагай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Даукара госфонд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с.Даукара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Сарыбулак госфонд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с.Сарыбулак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Сырымбетский СЗФ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с.Сырымбет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3.Казанский сельский округ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52-62</w:t>
            </w:r>
          </w:p>
          <w:bookmarkEnd w:id="41"/>
          <w:p>
            <w:pPr>
              <w:spacing w:after="20"/>
              <w:ind w:left="20"/>
              <w:jc w:val="both"/>
            </w:pPr>
            <w:r>
              <w:rPr>
                <w:rFonts w:ascii="Times New Roman"/>
                <w:b w:val="false"/>
                <w:i w:val="false"/>
                <w:color w:val="000000"/>
                <w:sz w:val="20"/>
              </w:rPr>
              <w:t>
63-64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Всеволодовка-Север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с.Всеволодовка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Шангал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с.Высокое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с.Никольское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с.Новоишимское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с.Саумалколь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с.Никольское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негосударственные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ведущие товарное сельскохозяйственное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сельских населенных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с.Аксеновка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с.Бурлык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с.Всеволодовка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с.Никольское-Бурлукское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с.Николькое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с.Прекрасное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РГП "Қазақстан темір жолы" Новоишимская дистанция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с.Новоишимское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Бурлукский лесхоз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Бурлукская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с.Бурлукское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с.Всеволодовка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с.Казанка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4.Каратальский сельский округ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77-88,</w:t>
            </w:r>
          </w:p>
          <w:bookmarkEnd w:id="42"/>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60-2</w:t>
            </w:r>
          </w:p>
          <w:bookmarkEnd w:id="43"/>
          <w:p>
            <w:pPr>
              <w:spacing w:after="20"/>
              <w:ind w:left="20"/>
              <w:jc w:val="both"/>
            </w:pPr>
            <w:r>
              <w:rPr>
                <w:rFonts w:ascii="Times New Roman"/>
                <w:b w:val="false"/>
                <w:i w:val="false"/>
                <w:color w:val="000000"/>
                <w:sz w:val="20"/>
              </w:rPr>
              <w:t>
89-91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Шангал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с.Высокое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Арай-Айыртау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с.Саумалколь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с.Саумалколь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негосударственные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ведущие товарное сельскохозяйственное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сельских населенных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с.Высокое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с.Косколь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с.Шукирлик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РГП "Қазақстан темір жолы" Новоишимская дистанция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с.Новоишимское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Бурлукский лесхоз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Камышная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с.Бурлукское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Сарманакская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с.Бурлукское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СЗФ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госфонд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с.Каратал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5.Елецкий сельский округ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с.Елецкое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Агро-Елецкое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с.Саумалколь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Жетыколь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с.Саумалколь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сельских населенных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с.Елецкое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с.Айыртауское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с.Колесниковка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с.Кругловка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с.Междуозерное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ГНПП "Кокшетау" (РО "Айыртау")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Болотная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Дубровная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Сырымбетский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(СЗФ)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с.Елецкое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(госфонд)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с.Елецкое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 сельский округ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с.Саумалколь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106-109,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с.Воскресеновка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Shalkar Grain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с.Айыртау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Агроком-Мадениет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а.Карасай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Айыртаустройтранс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с.Саумалколь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молоко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с.Саумалколь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негосударственные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ведущие товарное сельскохозяйственное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заведения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лицей №7 Айыртауского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с.Саумалколь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сельских населенных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с.Саумалколь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с.Новоукраинка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с.Воскресеновка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с.Галицино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с.Красногорка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с.Орловка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РГП "Қазақстан темір жолы" Кокшетауская дистанция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РГП "Қазақстан темір жолы" Новоишимская дистанция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с.Новоишимское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ГНПП "Кокшетау" Шалкарское 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Шалкар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Саумалколь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с.Саумалколь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Жетыкольский (ГЗЗ)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с.Саумалколь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7.Антоновский сельский округ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xml:space="preserve">
126-130, </w:t>
            </w:r>
          </w:p>
          <w:bookmarkEnd w:id="44"/>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АгроКом-Мадениет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Ратмир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Ясмина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Айыртаустройтранс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с.Саумалколь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АгроКом-Мадениет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Лавровское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Баянтай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с.Воскресеновка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с.Саумалколь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с.Саумалколь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с.Воскресеновка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сельских населенных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с.Акана-Серэ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с.Жумысши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с.Комаровка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ст.Уголки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РГП "Қазақстан темір жолы" Кокшетауская дистанция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Шалкарское (госфонд)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Камсакты (госфонд)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Шалкарское (иммиграционный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Антоновский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с.Антоновка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8.Украинский сельский округ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с.Кирилловка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Саумалколь Агро, Север-Агро ЛТД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с.Каменный Брод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Grain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с.Кирилловка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 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с.Саумалколь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Златогорка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с.Агынтай Батыр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негосударственные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ведущие товарное сельскохозяйственное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государственные юридические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Казанский госсортучасток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с.Кирилловка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сельских населенных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с.Кирилловка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с.Бурлук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с.Каменный Брод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с.Кутузовка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с.Петропавловка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с.Сарсай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с.Сарытубек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РГП "Қазақстан темір жолы" Новоишимская дистанция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с.Новоишимское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Бурлукский лесхоз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Красивая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с.Бурлукское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Нагорная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с.Бурлукское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(госфонд)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с.Бурлук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9.Арыкбалыкский сельский округ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с.Арыкбалык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АгроКом-Мадениет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а.Агынтай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Универсал-Умар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с.Арыкбалык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Бабык Бурлук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с.Нижний Бурлук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Златогорка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а.Агынтай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Amanat Jer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с.Арыкбалык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Север-Агро ЛТД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с.Каменный Брод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Shalkar Grain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с.Айыртау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Дортехника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с.Айыртау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негосударственные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ведущие товарное сельскохозяйственное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сельских населенных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с.Арыкбалык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а.Агынтай Батыр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а.Карасай Батыр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с.Целинное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ГНПП "Кокшетау" (Арыкбалыкское 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Горная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Озерная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Имантау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 (СЗФ)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с.Арыкбалык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 (госфонд)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с.Арыкбалык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10.Лобановский сельский округ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с.Лобаново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215-220,</w:t>
            </w:r>
          </w:p>
          <w:bookmarkEnd w:id="45"/>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Салмар-Агро-А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с.Альжанка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Агро-ВЕВ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с.Заря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с.Шалкар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с.Лобаново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Бабык-Бурлук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с.Нижний Бурлук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Имантау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Hairun-Agro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негосударственные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ведущие товарное сельскохозяйственное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заведения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Лобановская профессионально-техническая школа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с.Лобаново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сельских населенных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с.Лобаново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с.Альжанка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с.Шалкар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ГНПП "Кокшетау" (Шалкарское 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Холодные Ключи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ГЛЛ Красная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Белое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Байсары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Лобаново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 (госфонд)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с.Альжанка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Лобановский (СЗФ)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с.Лобаново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11.Гусаковский сельский округ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с.Гусаковка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Гусаковка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с.Гусаковка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AraiAstykGroup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с.Новосветловка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негосударственные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ведущие товарное сельскохозяйственное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сельских населенных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с.Гусаковка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с.Береславка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с.Корсаковка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с.Красный Кордон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с.Новосветловка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им.Акана Серэ</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Революционная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с.Красный Кордон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Утесы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с.Красный Кордон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ГНПП "Кокшетау" (Арыкбалыкское 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Безводная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Веселая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Гусаковский (СЗФ)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с.Гусаковка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Гусаковский (госфонд)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с.Гусаковка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12.Константиновский сельский округ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с.Константиновка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251-269,</w:t>
            </w:r>
          </w:p>
          <w:bookmarkEnd w:id="46"/>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Алга-Агро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с.Куспек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Исагали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с.Куспек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с.Константиновка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Бабык Бурлук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с.Нижний Бурлук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негосударственные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ведущие товарное сельскохозяйственное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государственные юридические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 госсортучасток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с.Константиновка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сельских населенных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с.Константиновка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с.Аканбурлук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с.Красново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с.Куспек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с.Матвеевка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ГНПП "Кокшетау" (Арыкбалыкское 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Тургайская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Куспек (госфонд)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с.Куспек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Куспек (СЗФ)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с.Куспек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 (госфонд)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с.Константиновка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13.Нижнебурлукский сельский округ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с.Нижний Бурлук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Бабык Бурлук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с.Нижний Бурлук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негосударственные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ведущие товарное сельскохозяйственное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сельских населенных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с.Нижний Бурлук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с.Алтынбулак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с.Якши Янгизтау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Якши Янгистау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Нижнебурлукский (СЗФ)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с.Нижний Бурлук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Нижнебурлукский (госфонд)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с.Нижний Бурлук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14.Имантауский сельский округ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296-299,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с/х юридические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 (хоз-во Имантау)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с.Лобаново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земля и птица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Имантау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АгроКом-Мадениет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с.Карасай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Amanat Jer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с.Арыкбалык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АгроКом-Мадениет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с.Верхний Бурлук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Hairun-Agro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с.Верхний Бурлук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Алаугер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с.Верхний Бурлук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сельских населенных пунктов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с.Верхний Бурлук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с.Цуриковка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ГНПП "Кокшетау" (Арыкбалыкское 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"Пролетарские ключи"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ГЛД "Лейковская"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г.Кокшетау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(госфонд)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(иммиграционный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Имантауский (СЗФ)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плану по управлению пастбищами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 их использованию по Айыртаускому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району на 2024 – 2025 годы</w:t>
            </w:r>
          </w:p>
        </w:tc>
      </w:tr>
    </w:tbl>
    <w:bookmarkStart w:name="z71" w:id="47"/>
    <w:p>
      <w:pPr>
        <w:spacing w:after="0"/>
        <w:ind w:left="0"/>
        <w:jc w:val="left"/>
      </w:pPr>
      <w:r>
        <w:rPr>
          <w:rFonts w:ascii="Times New Roman"/>
          <w:b/>
          <w:i w:val="false"/>
          <w:color w:val="000000"/>
        </w:rPr>
        <w:t xml:space="preserve"> Приемлемые схемы пастбищеоборотов</w:t>
      </w:r>
    </w:p>
    <w:bookmarkEnd w:id="47"/>
    <w:bookmarkStart w:name="z72"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плану по управлению пастбищами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 их использованию по Айыртаускому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району на 2024 – 2025 годы</w:t>
            </w:r>
          </w:p>
        </w:tc>
      </w:tr>
    </w:tbl>
    <w:bookmarkStart w:name="z77" w:id="49"/>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49"/>
    <w:bookmarkStart w:name="z78"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плану по управлению пастбищами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 их использованию по Айыртаускому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району на 2024 – 2025 годы</w:t>
            </w:r>
          </w:p>
        </w:tc>
      </w:tr>
    </w:tbl>
    <w:bookmarkStart w:name="z83" w:id="51"/>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51"/>
    <w:bookmarkStart w:name="z84"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схеме доступа пастбищепользователей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водоисточникам (озерам, рекам, прудам, копаням,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оросительным или обводнительным каналам,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трубчатым или шахтным колодцам),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составленную согласно норме потребления воды</w:t>
            </w:r>
          </w:p>
        </w:tc>
      </w:tr>
    </w:tbl>
    <w:bookmarkStart w:name="z91" w:id="53"/>
    <w:p>
      <w:pPr>
        <w:spacing w:after="0"/>
        <w:ind w:left="0"/>
        <w:jc w:val="left"/>
      </w:pPr>
      <w:r>
        <w:rPr>
          <w:rFonts w:ascii="Times New Roman"/>
          <w:b/>
          <w:i w:val="false"/>
          <w:color w:val="000000"/>
        </w:rPr>
        <w:t xml:space="preserve"> Среднее потребление воды сельскохозяйственными животными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с-х животного, половозрастная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Литров воды в 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дойные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мясные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КРС в возрасте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Телята до 6 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Конематки кормящие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Жеребята до 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взрослые (козы)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овец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Хряки-производители, свиноматки взрослые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Свиноматки с поросятами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Поросята на отъеме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2" w:id="54"/>
    <w:p>
      <w:pPr>
        <w:spacing w:after="0"/>
        <w:ind w:left="0"/>
        <w:jc w:val="both"/>
      </w:pPr>
      <w:r>
        <w:rPr>
          <w:rFonts w:ascii="Times New Roman"/>
          <w:b w:val="false"/>
          <w:i w:val="false"/>
          <w:color w:val="000000"/>
          <w:sz w:val="28"/>
        </w:rPr>
        <w:t>
      Примечание: среднее потребление воды сельскохозяйственными животными зависит от температуры окружающей среды, продуктивности, технологии содержания, живой массы животных и может варьировать в широком диапазоне, так потребность коровы в воде может возрастать до 180 литров в сутки в зависимости от молочной продуктивности.</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плану по управлению пастбищами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 их использованию по Айыртаускому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району на 2024 – 2025 годы</w:t>
            </w:r>
          </w:p>
        </w:tc>
      </w:tr>
    </w:tbl>
    <w:bookmarkStart w:name="z97" w:id="55"/>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Номерция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Арыкбалыкский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с25 апреля по 24 июня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июня по 24 июля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Антоновский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апреля по 24 июня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июня по 24 июля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апреля по 24 июня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июня по 24 июля разовая прокатка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Гусаковский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июня по 24 июля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апреля по 24 июня разовая прокатка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апреля по 24 июня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июня по 24 июля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Имантауский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апреля по 24 июня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июня по 24 июля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Казанский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апреля по 24 июня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июня по 24 июля разовая прокатка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Камсактинский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июня по 24 июля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апреля по 24 июня разовая прокатка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апреля по 24 июня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июня по 24 июля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апреля по 24 июня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июня по 24 июля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апреля по 24 июня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июня по 24 июля разовая прокатка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июня по 24 июля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апреля по 24 июня разовая прокатка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апреля по 24 июня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июня по 24 июля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отдыхающее поле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апреля по 24 июня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25 июня по 24 июля разовая прокатка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июля по 22 октября разовая прокатка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плану по управлению пастбищами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 их использованию по Айыртаускому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району на 2024 – 2025 годы</w:t>
            </w:r>
          </w:p>
        </w:tc>
      </w:tr>
    </w:tbl>
    <w:bookmarkStart w:name="z102" w:id="56"/>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особенности</w:t>
      </w:r>
    </w:p>
    <w:bookmarkEnd w:id="56"/>
    <w:bookmarkStart w:name="z103"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