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e4ce" w14:textId="6fe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Иртышском районе</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20 февраля 2023 года № 43/2</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утверждҰнными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Иртышского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предоставления коммунальных услуг в Иртышском районе согласно приложения к настоящему постановлению.</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"Отдел реального сектора экономики Иртышского района" в установленном законодательством Республики Казахстан порядке, обеспечить официальное опубликование и размещение в периодических печатных изданиях, на интернет-ресурсе.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Иртышского района Дугалова Т.А.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"20" февраля 2023 года</w:t>
            </w:r>
            <w:r>
              <w:br/>
            </w:r>
            <w:r>
              <w:rPr>
                <w:rFonts w:ascii="Times New Roman"/>
                <w:b w:val="false"/>
                <w:i w:val="false"/>
                <w:color w:val="000000"/>
                <w:sz w:val="20"/>
              </w:rPr>
              <w:t>№ 43/2</w:t>
            </w:r>
          </w:p>
        </w:tc>
      </w:tr>
    </w:tbl>
    <w:p>
      <w:pPr>
        <w:spacing w:after="0"/>
        <w:ind w:left="0"/>
        <w:jc w:val="left"/>
      </w:pPr>
      <w:r>
        <w:rPr>
          <w:rFonts w:ascii="Times New Roman"/>
          <w:b/>
          <w:i w:val="false"/>
          <w:color w:val="000000"/>
        </w:rPr>
        <w:t xml:space="preserve"> Правила предоставления коммунальных услуг в Иртышском районе Глава 1. Общие положения</w:t>
      </w: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xml:space="preserve">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"Об электроэнергии",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19)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Гражданскому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Водному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Закону Республики Казахстан "Об электроэнергии",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газе и газоснабжении"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xml:space="preserve">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"Об электроэнергии",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Законом Республики Казахстан "Об электроэнергетике" – круглосуточно в течение года;</w:t>
      </w:r>
    </w:p>
    <w:p>
      <w:pPr>
        <w:spacing w:after="0"/>
        <w:ind w:left="0"/>
        <w:jc w:val="both"/>
      </w:pPr>
      <w:r>
        <w:rPr>
          <w:rFonts w:ascii="Times New Roman"/>
          <w:b w:val="false"/>
          <w:i w:val="false"/>
          <w:color w:val="000000"/>
          <w:sz w:val="28"/>
        </w:rPr>
        <w:t xml:space="preserve">
      3) холодного и горячего водоснабжения – в соответствии качеству подаваемой воды, установленным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 удаление) – в соответствии с санитарно-эпидемиологическими требованиями по графикам,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исправном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исправном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исправное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Исправное техническое состояние, соблюдение сроков меж 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 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КГУ "Отделом реального сектора экономики Иртышского района".</w:t>
      </w:r>
    </w:p>
    <w:p>
      <w:pPr>
        <w:spacing w:after="0"/>
        <w:ind w:left="0"/>
        <w:jc w:val="both"/>
      </w:pPr>
      <w:r>
        <w:rPr>
          <w:rFonts w:ascii="Times New Roman"/>
          <w:b w:val="false"/>
          <w:i w:val="false"/>
          <w:color w:val="000000"/>
          <w:sz w:val="28"/>
        </w:rPr>
        <w:t xml:space="preserve">
      12. Потребителю необходимо иметь приборы учета, установленные в соответствии с требованиями Водного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Закона Республики Казахстан "Об электроэнергии",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газе и газоснабжении",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пп.4-1) </w:t>
      </w:r>
      <w:r>
        <w:rPr>
          <w:rFonts w:ascii="Times New Roman"/>
          <w:b w:val="false"/>
          <w:i w:val="false"/>
          <w:color w:val="000000"/>
          <w:sz w:val="28"/>
        </w:rPr>
        <w:t>п.1</w:t>
      </w:r>
      <w:r>
        <w:rPr>
          <w:rFonts w:ascii="Times New Roman"/>
          <w:b w:val="false"/>
          <w:i w:val="false"/>
          <w:color w:val="000000"/>
          <w:sz w:val="28"/>
        </w:rPr>
        <w:t xml:space="preserve"> ст.6 Закона Республики Казахстан "О государственном управлении и самоуправлении в Республики Казахстан". </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плохого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xml:space="preserve">
      17. В случаях неисполнения или исполнение не соответствующее условиям договора, поставщик или потребитель несут ответственность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соответствующее условиям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исполняющим обязанности Министра индустрии и инфраструктурного развития Республики Казахстан от 31 марта 2020 года №172.</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"Об электроэнергии",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Правилами, регулируются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"Об электроэнергии",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