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94c5" w14:textId="7129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августа 2023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Мендыкаринскому району 37,54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