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c439" w14:textId="0d1c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Житикаринского района Костанайской области от 15 марта 2018 года № 69 "Об утверждении Методики оценки деятельности административных государственных служащих корпуса "Б" местных исполнительных органов Житикаринского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21 апреля 2023 года № 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Житикаринского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Житикаринского района Костанайской области "Об утверждении Методики оценки деятельности административных государственных служащих корпуса "Б" местных исполнительных органов Житикаринского района" от 15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7671)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Житикаринского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Житикаринского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Житикаринского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15 февраля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Житикаринского района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Житикаринского района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</w:t>
      </w:r>
      <w:r>
        <w:rPr>
          <w:rFonts w:ascii="Times New Roman"/>
          <w:b w:val="false"/>
          <w:i w:val="false"/>
          <w:color w:val="000000"/>
          <w:sz w:val="28"/>
        </w:rPr>
        <w:t>Типовая методика</w:t>
      </w:r>
      <w:r>
        <w:rPr>
          <w:rFonts w:ascii="Times New Roman"/>
          <w:b w:val="false"/>
          <w:i w:val="false"/>
          <w:color w:val="000000"/>
          <w:sz w:val="28"/>
        </w:rPr>
        <w:t>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местных исполнительных органов Житикаринского района (далее – служащие корпуса "Б").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9"/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9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10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4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