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8133" w14:textId="bf48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2022 года № 230 "О районном бюджете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июня 2023 года № 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2023-2025 годы" от 27 декабря 2022 года № 230 (зарегистрированное в Реестре государственной регистрации нормативных правовых актов за № 177541)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6 886 564,4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3 958 517,0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2 890 506,4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7 185 664,6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76 828,0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152 135,0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-381 828,9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381 828,9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2023 год в сумме 15 000,0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прав и улучшение качества жизни лиц с инвалидностью в Республике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3), 4) следующего содержания: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строительство сельского дома культуры, Костанайская область, Житикаринский район, село Пригородное (без наружных инженерных сетей);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сетей водоснабжения села Пригородное (в районе станции Житикара) Житикаринского района Костанайской области;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газопотребляющей энергетической установки для покрытия собственных нужд Центральной городской котельной в городе Житикара, Костанайской области.";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18), 19), 20), 21), 22), 23), 24), 25), 26), 27), 28), 29), 30), 31), 32), 33), 34), 35), 36), 37), 38), 39), 40) следующего содержания: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осуществление единовременных выплат ко Дню вывода ограниченного контингента советских войск из Демократической Республики Афганистан;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возмещение расходов по переезду для кандасов и переселенцев;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расширение перечня технических вспомогательных (компенсаторных) средств, предоставляемых лицам с инвалидностью;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чемпионатов по всем видам спорта;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сельского дома культуры, Костанайская область, Житикаринский район, село Пригородное (без наружных инженерных сетей);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сетей водоснабжения села Пригородное (в районе станции Житикара) Житикаринского района Костанайской области;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реконструкцию здания бывшей районной больницы (без ремонта фасадов) по адресу: Костанайская область, Житикаринский район, город Житикара, улица Ленина, 108/1;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газопотребляющей энергетической установки для покрытия собственных нужд Центральной городской котельной в городе Житикара, Костанайской области;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экспертизы качества работ и материалов по среднему ремонту автомобильной дороги районного значения КР-JT-7 "Подъезд к селу Забеловка" 0-10 км;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ведомственной экспертизы технической документации на средний ремонт участка автомобильной дороги районного значения КР-JT-1 "Подъезд к селу Дзержинское" 0-14 км;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ведомственной экспертизы технической документации на средний ремонт участка автомобильной дороги районного значения КР-JT-6 "Подъезд к селу Глебовка" 0-5 км Житикаринского района Костанайской области;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средний ремонт участка автомобильной дороги по улице Новая, в границах от улицы Шокана Уалиханова до улицы Бәйтерек;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средний ремонт улицы Достоевского в селе Пригородное;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средний ремонт улицы Молодежная в селе Пригородное;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средний ремонт улицы Колесниченко в селе Пригородное;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средний ремонт улицы Жданова в селе Пригородное;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средний ремонт улицы Минская в селе Приречное Житикаринского района;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внутрипоселковых дорог в селе Забеловка (ул. Победы, ул. Октябрьская);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текущий ремонт уличного освещения улиц города Житикара;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текущий ремонт уличного освещения улиц села Степное;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монтаж уличного освещения улиц села Милютинка;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монтаж уличного освещения улиц села Чайковское;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текущий ремонт уличного освещения улиц села Тохтарово;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монтаж уличного освещения улиц села Приречное;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текущий ремонт уличного освещения улиц села Пригородное.";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