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874c" w14:textId="6048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11 сентября 2019 года № 394 "Об утверждении Правил реализации механизмов стабилизации цен на социально значимые продовольственные товары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февраля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реализации механизмов стабилизации цен на социально значимые продовольственные товары по Костанайской области" от 11 сентября 2019 года № 394 (зарегистрировано в Реестре государственной регистрации нормативных правовых актов под № 8653)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Костанайской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Местный исполнительный орган представляет в министерства сельского хозяйства и торговли и интеграции Республики Казахстан: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местного исполнительного органа о средней стоимости хранения в регионе в аналогичных типах хранения.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12-7. Специализированная организация совместно с местным исполнительным органам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12-8.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