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ca65" w14:textId="1c0c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Осакаровского районного маслихата от 20 июня 2018 года № 479 "Об утверждении регламента собрания местного сообщества поселков и сельских округов Осакаровского района"</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21 июня 2023 года № 5/59</w:t>
      </w:r>
    </w:p>
    <w:p>
      <w:pPr>
        <w:spacing w:after="0"/>
        <w:ind w:left="0"/>
        <w:jc w:val="both"/>
      </w:pPr>
      <w:bookmarkStart w:name="z4" w:id="0"/>
      <w:r>
        <w:rPr>
          <w:rFonts w:ascii="Times New Roman"/>
          <w:b w:val="false"/>
          <w:i w:val="false"/>
          <w:color w:val="000000"/>
          <w:sz w:val="28"/>
        </w:rPr>
        <w:t>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Осакаровского районного маслихата от 20 июня 2018 года № 479 "Об утверждении Регламента собрания местного сообщества поселков и сельских округов Осакаровского района" (зарегистрировано в Реестре государственной регистрации нормативных правовых актов № 4837)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регламента изложить в новой редакции:</w:t>
      </w:r>
    </w:p>
    <w:bookmarkStart w:name="z7" w:id="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
    <w:bookmarkStart w:name="z8" w:id="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
    <w:bookmarkStart w:name="z9" w:id="4"/>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4"/>
    <w:bookmarkStart w:name="z10" w:id="5"/>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5"/>
    <w:bookmarkStart w:name="z11" w:id="6"/>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6"/>
    <w:bookmarkStart w:name="z12" w:id="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7"/>
    <w:bookmarkStart w:name="z13" w:id="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8"/>
    <w:bookmarkStart w:name="z14" w:id="9"/>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9"/>
    <w:bookmarkStart w:name="z15" w:id="1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0"/>
    <w:bookmarkStart w:name="z16" w:id="11"/>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11"/>
    <w:bookmarkStart w:name="z17" w:id="1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2"/>
    <w:bookmarkStart w:name="z18" w:id="13"/>
    <w:p>
      <w:pPr>
        <w:spacing w:after="0"/>
        <w:ind w:left="0"/>
        <w:jc w:val="both"/>
      </w:pPr>
      <w:r>
        <w:rPr>
          <w:rFonts w:ascii="Times New Roman"/>
          <w:b w:val="false"/>
          <w:i w:val="false"/>
          <w:color w:val="000000"/>
          <w:sz w:val="28"/>
        </w:rPr>
        <w:t>
      другие текущие вопросы местного сообщества.</w:t>
      </w:r>
    </w:p>
    <w:bookmarkEnd w:id="13"/>
    <w:bookmarkStart w:name="z19" w:id="14"/>
    <w:p>
      <w:pPr>
        <w:spacing w:after="0"/>
        <w:ind w:left="0"/>
        <w:jc w:val="both"/>
      </w:pPr>
      <w:r>
        <w:rPr>
          <w:rFonts w:ascii="Times New Roman"/>
          <w:b w:val="false"/>
          <w:i w:val="false"/>
          <w:color w:val="000000"/>
          <w:sz w:val="28"/>
        </w:rPr>
        <w:t>
      2. Настоящее решение вводится в действие по истечению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