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1951" w14:textId="0571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Саранского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25 апреля 2023 года № 19. Отменено решением Саранского городского маслихата Карагандинской области от 25 сентября 2025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Саранского городского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Саранского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23 июня 2022 года № 139 "Об утверждении Методики оценки деятельности административных государственных служащих корпуса "Б" государственного учреждения "Аппарат Саранского городского маслихата"".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Саранского городского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административный государственный служащий корпуса "Б" категории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подразделения,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аппарата маслихата, на которого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органа/структурного подразделения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осуществляется на основе оценки достижения КЦИ.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Методики оценки деятельности административных государственных служащих корпуса "Б".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в течение оцениваемого периода);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Методики оценки деятельности административных государственных служащих корпуса "Б".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Методики оценки деятельности административных государственных служащих корпуса "Б".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Методики оценки деятельности административных государственных служащих корпуса "Б"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Методики оценки Деятельности административных государственных служащих корпуса "Б".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Методики оценки деятельности административных государственных служащих корпуса "Б",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Методики оценки деятельности административных государственных служащих корпуса "Б".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