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7c664" w14:textId="b47c6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отнесении объекта строительства к объектам, требующим особого регулирования и (или) градостроительной регламентации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20 декабря 2023 года № 143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"Об архитектурной, градостроительной и строительной деятельности в Республике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Объект строительства "Строительство мультибрендового завода по производству легковых автомобилей Chery, Changan, Haval" отнести к объектам, требующим особого регулирования и (или) градостроительной регламентации.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официальное опубликование настоящего приказа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Шарлапаев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