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5b0" w14:textId="777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14 декабря 2022 года № 13-42 "Об утверждении правил благоустройства территорий городов и населенных пунктов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15 декабря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 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"Об утверждении Типовых правил благоустройства территорий городов и населенных пунктов"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№ 10886), маслихат области Жетісу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благоустройства территорий городов и населенных пунктов области Жетісу утвержденных решением маслихата области Жетісу от 14 декабря 2022 года </w:t>
      </w:r>
      <w:r>
        <w:rPr>
          <w:rFonts w:ascii="Times New Roman"/>
          <w:b w:val="false"/>
          <w:i w:val="false"/>
          <w:color w:val="000000"/>
          <w:sz w:val="28"/>
        </w:rPr>
        <w:t>№ 13-42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благоустройства территорий городов и населенных пунктов области Жетісу"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подпунктом 3-1) следующего содержания: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подпунктом 7-1) следующего содержания: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"23-1.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 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28-1 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29-1 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"29-1. Не допускается наклеивание и развешивание на зданиях, заборах, остановках городского пассажирского транспорта, опорах освещения, деревьях объявлений и информационных сообщений.";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Контроль за исполнением данного решения возложить на заместителя акима области А. Канагатова (по согласованию).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