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e7e7" w14:textId="588e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 на субсидирование развития производства приоритетных культур, в том числе многолетних насаждений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17 октября 2023 года № 200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20209</w:t>
      </w:r>
      <w:r>
        <w:rPr>
          <w:rFonts w:ascii="Times New Roman"/>
          <w:b w:val="false"/>
          <w:i w:val="false"/>
          <w:color w:val="000000"/>
          <w:sz w:val="28"/>
        </w:rPr>
        <w:t>)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культур и нормы субсидий на субсидирование развития производства приоритетных культур, в том числе многолетних насаждений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обеспечить принятие мер, вытекающих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10 2023 года № 200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 субсидий на субсидирование развития производства приоритетных культур, в том числе многолетних насаждений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тонну,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Подсолнечник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