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65a3" w14:textId="1d06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августа 2023 года № 7-4-VIII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7-4-VIII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Бородулихинского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27-8-VIII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№ 13 (далее – Типовая методика)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 (далее – служащие корпуса "Б").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 утверждается первым руководителем государственного органа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16299), с учетом специфики деятельности государственного органа.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настоящей Методике: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административный государственный служащий корпуса "Б" категорий Е-2;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государственного органа;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государственного органа или служащий корпуса "Б";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аппарата маслихата Бородулихинского района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Организационное сопровождение оценки обеспечивается отделом организационно-кадровой и правовой работы, на которое возложено исполнение обязанностей службы управления персоналом (кадровой службой), в том числе посредством информационной системы.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отделом организационно-кадровой и правовой работы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 организационно-кадровой и правовой работы обеспечивает ознакомление оцениваемого служащего с результатами оценки в течение двух рабочих дней со дня ее завершения.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отделе организационно-кадровой и правовой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отделом организационно-кадровой и правовой работы при содействии всех заинтересованных лиц и сторон.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организационно-кадровой и правовой работы обеспечивает: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организационно-кадровой и правовой работы и участникам калибровочных сессий.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деятельности руководителя государственного органа осуществляется на основе оценки достижения КЦИ.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отделом организационно-кадровой и правовой работы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пяти рабочих дней со дня установления (утверждения) КЦИ организационно-правовой и кадровый отдел обеспечивает (при наличии технической возможности) размещение индивидуального плана работы в информационной системе.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отделом организационно-кадровой и правовой работы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либо на повышение эффективности деятельности государственного органа.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отдел организационно-кадровой и правовой работы,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Оценочный лист направляется для рассмотрения оценивающему лицу посредством информационной системы, либо в случае ее отсутствия отделом организационно-кадровой и правовой работы.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осуществляется по методу ранжирования.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отдел организационно-кадровой и правовой работы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отделом организационно-кадровой и правовой работы.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органа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саморазвитие.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организационно-кадровой и правовой работы, для каждого оцениваемого лица.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Отдел организационно-кадровой и правовой работы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отделом организационно-кадровой и правовой работы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Отдел организационно-кадровой и правовой работы организовывает деятельность калибровочной сессии.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 калибровочной сессии оценивающее лицо кратко описывает работу оцениваемого лица и аргументирует свою оценку. 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оценки осуществляется как в сторону повышения, так и в сторону понижения. 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организационно-кадровой и правовой работы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Оценивающее лицо обеспечивает атмосферу открытого и дружелюбного диалога во время встречи. 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