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605" w14:textId="9577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Кегенском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25 декабря 2023 года № 14-67. Зарегистрировано Департаментом юстиции Алматинской области 26 декабря 2023 года № 6061-05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Кегенском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Кегенского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Кегенском районе" от 27 ноября 2018 года № 9-33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25 декабря 2023 года № 14-67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Кегенском районе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Кегенском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Кегенского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Кегенского района управления образования Алматинской области".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