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2f60" w14:textId="3e42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Хромтауского районного маслихата от 27 августа 2021 года № 89 "Об утверждении методики оценки деятельности административных государственных служащих корпуса "Б" государственного учреждения "Аппарат Хромтауского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31 октября 2023 года № 77. Утратило силу решением Хромтауского районного маслихата Актюбинской области от 4 июля 2025 года №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04.07.2025 № 330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27 августа 2021 года № 89 "Об утверждении методики оценки деятельности административных государственных служащих корпуса "Б" государственного учреждения "Аппарат Хромтауского районного маслихата"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Хромтауского районного маслихата", утвержденной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31 октября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августа 2021 года № 89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Хромтауского районного маслихата"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Хромтауского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Хромтауского районного маслихата" (далее - аппарат маслихата).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утверждается районным маслихатом на основе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 учетом специфики деятельности Аппарата Хромтауского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Е-2, Е-3 (руководители структурных подразделений);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квратал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