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8c0d" w14:textId="c688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Уилского района от 19 апреля 2022 года № 62 "Об утверждении Правил предоставления коммунальных услуг в Уилском районе"</w:t>
      </w:r>
    </w:p>
    <w:p>
      <w:pPr>
        <w:spacing w:after="0"/>
        <w:ind w:left="0"/>
        <w:jc w:val="both"/>
      </w:pPr>
      <w:r>
        <w:rPr>
          <w:rFonts w:ascii="Times New Roman"/>
          <w:b w:val="false"/>
          <w:i w:val="false"/>
          <w:color w:val="000000"/>
          <w:sz w:val="28"/>
        </w:rPr>
        <w:t>Постановление акимата Уилского района Актюбинской области от 28 ноября 2023 года № 230</w:t>
      </w:r>
    </w:p>
    <w:p>
      <w:pPr>
        <w:spacing w:after="0"/>
        <w:ind w:left="0"/>
        <w:jc w:val="both"/>
      </w:pPr>
      <w:bookmarkStart w:name="z2" w:id="0"/>
      <w:r>
        <w:rPr>
          <w:rFonts w:ascii="Times New Roman"/>
          <w:b w:val="false"/>
          <w:i w:val="false"/>
          <w:color w:val="000000"/>
          <w:sz w:val="28"/>
        </w:rPr>
        <w:t>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Уилского района от 19 апреля 2022 года № 62 "Об утверждении Правил предоставления коммунальных услуг в Уилском районе"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Уилского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28 ноября 2023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19 апреля 2022 года № 62</w:t>
            </w:r>
          </w:p>
        </w:tc>
      </w:tr>
    </w:tbl>
    <w:p>
      <w:pPr>
        <w:spacing w:after="0"/>
        <w:ind w:left="0"/>
        <w:jc w:val="left"/>
      </w:pPr>
      <w:r>
        <w:rPr>
          <w:rFonts w:ascii="Times New Roman"/>
          <w:b/>
          <w:i w:val="false"/>
          <w:color w:val="000000"/>
        </w:rPr>
        <w:t xml:space="preserve"> Правила предоставления коммунальных услуг в Уилском районе </w:t>
      </w:r>
      <w:r>
        <w:br/>
      </w:r>
      <w:r>
        <w:rPr>
          <w:rFonts w:ascii="Times New Roman"/>
          <w:b/>
          <w:i w:val="false"/>
          <w:color w:val="000000"/>
        </w:rPr>
        <w:t>Глава 1. Общие положения</w:t>
      </w: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Уилском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22)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подготавливает проекты договоров с поставщиками коммунальных услуг (на каждый вид услуг) для последующего подписания и заключения их с собственниками квартир и нежилых помещений.</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либо временной управляющей компанией на содержание общего имущества объекта кондоминиума.</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 Границей раздела балансовой принадлежности между сетями водоснабжения и водоотведения услугодателя и потребителя, являющегося владельцем индивидуального жилого дома или юридическим лицом, является врезка в трубопровод в месте подключения к системе водоснабжения и водоотведения населенного пункта.</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физические лица, проживающие в жилых домах, обязаны пользоваться централизованной системой сбора твердых бытовых отходов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p>
      <w:pPr>
        <w:spacing w:after="0"/>
        <w:ind w:left="0"/>
        <w:jc w:val="both"/>
      </w:pPr>
      <w:r>
        <w:rPr>
          <w:rFonts w:ascii="Times New Roman"/>
          <w:b w:val="false"/>
          <w:i w:val="false"/>
          <w:color w:val="000000"/>
          <w:sz w:val="28"/>
        </w:rPr>
        <w:t>
      10)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сбора твердых бытовых отходов обязаны заключить договор на транспортировку твердых бытовых отходов с субъектами предпринимательства в сфере управления отходами, осуществляющими сбор и транспортировку твердых бытовых отходов, определенным местным исполнительным органам.</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частично или полностью прекращает предоставления услуг в случае неоплаты за коммунальные услуги потребителем в установленные сроки в полном обьеме по договору.</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 или по единому платежному документу по форме согласно приложению к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5285).</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 В случае не урегулирования спора по согласованию сторон, потребитель имеет право обратиться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либо всеми собственниками квартир, нежилых помещений, при непосредственном совместном управлении.</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