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487" w14:textId="e0ad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и председателя постоянной комиссии районного маслихата по вопросам финансов, бюджета, развития предпринимательства и сельского хозяйства.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