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3574" w14:textId="eac3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Целиноградского районного маслихата от 30 мая 2023 года № 43/5-8 "Об утверждении Плана по управлению пастбищами и их использованию Нуресильского сельского округа, сельского округа Кабанбай батыра, Караоткельского сельского округа, села Коянды, Жарлыкольского сельского округа, сельского округа Тасты, Арайлынского сельского округа, Жанаесильского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села Маншук Целиноградского района на 2023-2024 годы"</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19 декабря 2023 года № 102/14-8</w:t>
      </w:r>
    </w:p>
    <w:p>
      <w:pPr>
        <w:spacing w:after="0"/>
        <w:ind w:left="0"/>
        <w:jc w:val="both"/>
      </w:pPr>
      <w:bookmarkStart w:name="z1" w:id="0"/>
      <w:r>
        <w:rPr>
          <w:rFonts w:ascii="Times New Roman"/>
          <w:b w:val="false"/>
          <w:i w:val="false"/>
          <w:color w:val="000000"/>
          <w:sz w:val="28"/>
        </w:rPr>
        <w:t>
      Целиноградский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Целиноградского районного маслихата от 30 мая 2023 года № 43/5-8 "Об утверждении Плана по управлению пастбищами и их использованию Нуресильского сельского округа, сельского округа Кабанбай батыра, Караоткельского сельского округа, села Коянды, Жарлыкольского сельского округа, сельского округа Тасты, Арайлынского сельского округа, Жанаесильского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села Маншук Целиноградского района на 2023-2024 годы"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"Об утверждении Плана по управлению пастбищами и их использованию Нуресильского сельского округа, сельского округа Кабанбай батыра, Караоткельского сельского округа, села Коянды, Жарлыкольского сельского округа, сельского округа Тасты, Арайлынского сельского округа, Жанаесильского сельского округа, сельского округа Родина, сельского округа Ақжар, сельского округа Рахымжана Кошкарбаева, Софиевского сельского округа, Талапкерского сельского округа, Шалкарского сельского округа, села Мәншүк Мәметова, Оразакского сельского округа Целиноградского района на 2023-2024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"Утвердить План по управлению пастбищами и их использованию Нуресильского сельского округа, сельского округа Кабанбай батыра, Караоткельского сельского округа, села Коянды, Жарлыкольского сельского округа, сельского округа Тасты, Арайлынского сельского округа, Жанаесильского сельского округа, сельского округа Родина, сельского округа Ақжар, сельского округа Рахымжана Кошкарбаева, Софиевского сельского округа, Талапкерского сельского округа, Шалкарского сельского округа, села Мәншүк Мәметова, Оразакского сельского округа Целиноградского района на 2023-2024 годы, согласно приложениям 1, 2, 3, 4, 5, 6, 7, 8, 9, 10, 11, 12, 13, 14, 15, 16 к настоящему решению.";</w:t>
      </w:r>
    </w:p>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указанному решению слова "Приреченский сельский округ" заменить словами "сельский округ Ақжар", слова "село Приречное" заменить словами "село Ақжар";</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 xml:space="preserve"> к указанному решению слова "село Маншук" заменить словами "село Мәншүк Мәметова";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8"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приложением 16</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
    <w:bookmarkStart w:name="z9"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Целиноградского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Целиноградского района</w:t>
      </w:r>
    </w:p>
    <w:p>
      <w:pPr>
        <w:spacing w:after="0"/>
        <w:ind w:left="0"/>
        <w:jc w:val="both"/>
      </w:pPr>
      <w:r>
        <w:rPr>
          <w:rFonts w:ascii="Times New Roman"/>
          <w:b w:val="false"/>
          <w:i w:val="false"/>
          <w:color w:val="000000"/>
          <w:sz w:val="28"/>
        </w:rPr>
        <w:t>
      Б.Оспанбеков</w:t>
      </w:r>
    </w:p>
    <w:p>
      <w:pPr>
        <w:spacing w:after="0"/>
        <w:ind w:left="0"/>
        <w:jc w:val="both"/>
      </w:pPr>
      <w:r>
        <w:rPr>
          <w:rFonts w:ascii="Times New Roman"/>
          <w:b w:val="false"/>
          <w:i w:val="false"/>
          <w:color w:val="000000"/>
          <w:sz w:val="28"/>
        </w:rPr>
        <w:t>
      19 декабря 2023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Н.Дулатов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земельных отношений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А.Нуртазин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Целиноградского районного маслихата</w:t>
            </w:r>
            <w:r>
              <w:br/>
            </w:r>
            <w:r>
              <w:rPr>
                <w:rFonts w:ascii="Times New Roman"/>
                <w:b w:val="false"/>
                <w:i w:val="false"/>
                <w:color w:val="000000"/>
                <w:sz w:val="20"/>
              </w:rPr>
              <w:t>от 19 декабря 2023 года</w:t>
            </w:r>
            <w:r>
              <w:br/>
            </w:r>
            <w:r>
              <w:rPr>
                <w:rFonts w:ascii="Times New Roman"/>
                <w:b w:val="false"/>
                <w:i w:val="false"/>
                <w:color w:val="000000"/>
                <w:sz w:val="20"/>
              </w:rPr>
              <w:t>№ 102/14-8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Целиноградского районного маслихата</w:t>
            </w:r>
            <w:r>
              <w:br/>
            </w:r>
            <w:r>
              <w:rPr>
                <w:rFonts w:ascii="Times New Roman"/>
                <w:b w:val="false"/>
                <w:i w:val="false"/>
                <w:color w:val="000000"/>
                <w:sz w:val="20"/>
              </w:rPr>
              <w:t>от 30 мая 2023 года</w:t>
            </w:r>
            <w:r>
              <w:br/>
            </w:r>
            <w:r>
              <w:rPr>
                <w:rFonts w:ascii="Times New Roman"/>
                <w:b w:val="false"/>
                <w:i w:val="false"/>
                <w:color w:val="000000"/>
                <w:sz w:val="20"/>
              </w:rPr>
              <w:t>№ 43/5-8</w:t>
            </w:r>
          </w:p>
        </w:tc>
      </w:tr>
    </w:tbl>
    <w:p>
      <w:pPr>
        <w:spacing w:after="0"/>
        <w:ind w:left="0"/>
        <w:jc w:val="left"/>
      </w:pPr>
      <w:r>
        <w:rPr>
          <w:rFonts w:ascii="Times New Roman"/>
          <w:b/>
          <w:i w:val="false"/>
          <w:color w:val="000000"/>
        </w:rPr>
        <w:t xml:space="preserve"> План по управлению пастбищами и их использованию сельского округа Кабанбай батыра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сельского округа Кабанбай батыра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Кабанбай батыра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Кабанбай батыра,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Кабанбай батыра,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Кабанбай батыра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Кабанбай батыра,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Кабанбай батыра,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сельском округе Кабанбай батыра,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сельского округа Кабанбай батыра,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Кабанбай батыра имеются 4 сельских населенных пункта.</w:t>
      </w:r>
    </w:p>
    <w:p>
      <w:pPr>
        <w:spacing w:after="0"/>
        <w:ind w:left="0"/>
        <w:jc w:val="both"/>
      </w:pPr>
      <w:r>
        <w:rPr>
          <w:rFonts w:ascii="Times New Roman"/>
          <w:b w:val="false"/>
          <w:i w:val="false"/>
          <w:color w:val="000000"/>
          <w:sz w:val="28"/>
        </w:rPr>
        <w:t>
      По природным условиям территория сельского округа Кабанбай батыра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сельском округе Кабанбай батыра у населения насчитывается крупного рогатого скота 1024 голов, из них маточное поголовье 605 голов, мелкого рогатого скота 2933 голов, 1043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сельском округе Кабанбай батыра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сельском округе Кабанбай батыра действует 1 скотомогильник.</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4851 гектар, потребность составляет 5143 гектар, при норме нагрузки 8,5 гектар/на 1 голову. Имеется потребность пастбищных угодий по выпасу всего сельскохозяйственных животных местного населения в размере 24239 гектар, при норме нагрузки на голову крупно рогатого скота – 8,5 гектар/на 1 голов, мелкого рогатого скота – 1,7 гектар/на 1 голову, лошадей –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 рогатого скота 1024 голов * 8,5 гектар/на 1 голову = 8704 гектар;</w:t>
      </w:r>
    </w:p>
    <w:p>
      <w:pPr>
        <w:spacing w:after="0"/>
        <w:ind w:left="0"/>
        <w:jc w:val="both"/>
      </w:pPr>
      <w:r>
        <w:rPr>
          <w:rFonts w:ascii="Times New Roman"/>
          <w:b w:val="false"/>
          <w:i w:val="false"/>
          <w:color w:val="000000"/>
          <w:sz w:val="28"/>
        </w:rPr>
        <w:t>
      для мелкого рогатого скота 2933 голов * 1,7 гектар/на 1 голову = 4986 гектар;</w:t>
      </w:r>
    </w:p>
    <w:p>
      <w:pPr>
        <w:spacing w:after="0"/>
        <w:ind w:left="0"/>
        <w:jc w:val="both"/>
      </w:pPr>
      <w:r>
        <w:rPr>
          <w:rFonts w:ascii="Times New Roman"/>
          <w:b w:val="false"/>
          <w:i w:val="false"/>
          <w:color w:val="000000"/>
          <w:sz w:val="28"/>
        </w:rPr>
        <w:t>
      для лошадей 1043 голов *10,2 гектар/на 1 голову = 10639 гектар.</w:t>
      </w:r>
    </w:p>
    <w:p>
      <w:pPr>
        <w:spacing w:after="0"/>
        <w:ind w:left="0"/>
        <w:jc w:val="both"/>
      </w:pPr>
      <w:r>
        <w:rPr>
          <w:rFonts w:ascii="Times New Roman"/>
          <w:b w:val="false"/>
          <w:i w:val="false"/>
          <w:color w:val="000000"/>
          <w:sz w:val="28"/>
        </w:rPr>
        <w:t>
      8704 +4986+10639=24239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12" w:id="6"/>
    <w:p>
      <w:pPr>
        <w:spacing w:after="0"/>
        <w:ind w:left="0"/>
        <w:jc w:val="left"/>
      </w:pPr>
      <w:r>
        <w:rPr>
          <w:rFonts w:ascii="Times New Roman"/>
          <w:b/>
          <w:i w:val="false"/>
          <w:color w:val="000000"/>
        </w:rPr>
        <w:t xml:space="preserve"> Схема (карта) расположения пастбищ на территории сельского округа Кабанбай батыра в разрезе категорий земель, собственников земельных участков и землепользователей на основании правоустанавливающих документов</w:t>
      </w:r>
    </w:p>
    <w:bookmarkEnd w:id="6"/>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Таблица-1. Список пастбищ на территории сельского округа Кабанбай батыра в разрезе категорий земель, собственников земельных участков и землепользователей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Каиржанов Б.Г.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"Сарыадыр"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01011037081, 01011037618, 01011037294, 01011037295,</w:t>
            </w:r>
          </w:p>
          <w:p>
            <w:pPr>
              <w:spacing w:after="20"/>
              <w:ind w:left="20"/>
              <w:jc w:val="both"/>
            </w:pPr>
            <w:r>
              <w:rPr>
                <w:rFonts w:ascii="Times New Roman"/>
                <w:b w:val="false"/>
                <w:i w:val="false"/>
                <w:color w:val="000000"/>
                <w:sz w:val="20"/>
              </w:rPr>
              <w:t>
01011037631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Черняевская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"Жасыл Жайлау"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01011037723,</w:t>
            </w:r>
          </w:p>
          <w:p>
            <w:pPr>
              <w:spacing w:after="20"/>
              <w:ind w:left="20"/>
              <w:jc w:val="both"/>
            </w:pPr>
            <w:r>
              <w:rPr>
                <w:rFonts w:ascii="Times New Roman"/>
                <w:b w:val="false"/>
                <w:i w:val="false"/>
                <w:color w:val="000000"/>
                <w:sz w:val="20"/>
              </w:rPr>
              <w:t>
01011037714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Тальвинский 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01011037626,</w:t>
            </w:r>
          </w:p>
          <w:p>
            <w:pPr>
              <w:spacing w:after="20"/>
              <w:ind w:left="20"/>
              <w:jc w:val="both"/>
            </w:pPr>
            <w:r>
              <w:rPr>
                <w:rFonts w:ascii="Times New Roman"/>
                <w:b w:val="false"/>
                <w:i w:val="false"/>
                <w:color w:val="000000"/>
                <w:sz w:val="20"/>
              </w:rPr>
              <w:t>
01011037627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Сейкенова 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"Сивка-бурка"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"Садық"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01011037380, 01011037706, 01011037707, 01011037640,</w:t>
            </w:r>
          </w:p>
          <w:p>
            <w:pPr>
              <w:spacing w:after="20"/>
              <w:ind w:left="20"/>
              <w:jc w:val="both"/>
            </w:pPr>
            <w:r>
              <w:rPr>
                <w:rFonts w:ascii="Times New Roman"/>
                <w:b w:val="false"/>
                <w:i w:val="false"/>
                <w:color w:val="000000"/>
                <w:sz w:val="20"/>
              </w:rPr>
              <w:t>
01011037580,</w:t>
            </w:r>
          </w:p>
          <w:p>
            <w:pPr>
              <w:spacing w:after="20"/>
              <w:ind w:left="20"/>
              <w:jc w:val="both"/>
            </w:pPr>
            <w:r>
              <w:rPr>
                <w:rFonts w:ascii="Times New Roman"/>
                <w:b w:val="false"/>
                <w:i w:val="false"/>
                <w:color w:val="000000"/>
                <w:sz w:val="20"/>
              </w:rPr>
              <w:t>
01011037641,</w:t>
            </w:r>
          </w:p>
          <w:p>
            <w:pPr>
              <w:spacing w:after="20"/>
              <w:ind w:left="20"/>
              <w:jc w:val="both"/>
            </w:pPr>
            <w:r>
              <w:rPr>
                <w:rFonts w:ascii="Times New Roman"/>
                <w:b w:val="false"/>
                <w:i w:val="false"/>
                <w:color w:val="000000"/>
                <w:sz w:val="20"/>
              </w:rPr>
              <w:t>
01011037645,</w:t>
            </w:r>
          </w:p>
          <w:p>
            <w:pPr>
              <w:spacing w:after="20"/>
              <w:ind w:left="20"/>
              <w:jc w:val="both"/>
            </w:pPr>
            <w:r>
              <w:rPr>
                <w:rFonts w:ascii="Times New Roman"/>
                <w:b w:val="false"/>
                <w:i w:val="false"/>
                <w:color w:val="000000"/>
                <w:sz w:val="20"/>
              </w:rPr>
              <w:t>
01011037649,</w:t>
            </w:r>
          </w:p>
          <w:p>
            <w:pPr>
              <w:spacing w:after="20"/>
              <w:ind w:left="20"/>
              <w:jc w:val="both"/>
            </w:pPr>
            <w:r>
              <w:rPr>
                <w:rFonts w:ascii="Times New Roman"/>
                <w:b w:val="false"/>
                <w:i w:val="false"/>
                <w:color w:val="000000"/>
                <w:sz w:val="20"/>
              </w:rPr>
              <w:t>
01011037739,</w:t>
            </w:r>
          </w:p>
          <w:p>
            <w:pPr>
              <w:spacing w:after="20"/>
              <w:ind w:left="20"/>
              <w:jc w:val="both"/>
            </w:pPr>
            <w:r>
              <w:rPr>
                <w:rFonts w:ascii="Times New Roman"/>
                <w:b w:val="false"/>
                <w:i w:val="false"/>
                <w:color w:val="000000"/>
                <w:sz w:val="20"/>
              </w:rPr>
              <w:t>
01011037737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"Maybalyk-agro"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"Аqpan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"Самал 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"Нура-2011"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01011037634,</w:t>
            </w:r>
          </w:p>
          <w:p>
            <w:pPr>
              <w:spacing w:after="20"/>
              <w:ind w:left="20"/>
              <w:jc w:val="both"/>
            </w:pPr>
            <w:r>
              <w:rPr>
                <w:rFonts w:ascii="Times New Roman"/>
                <w:b w:val="false"/>
                <w:i w:val="false"/>
                <w:color w:val="000000"/>
                <w:sz w:val="20"/>
              </w:rPr>
              <w:t>
01011037635,01011037653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"Агропарк"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"Ендала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8"/>
    <w:p>
      <w:pPr>
        <w:spacing w:after="0"/>
        <w:ind w:left="0"/>
        <w:jc w:val="left"/>
      </w:pPr>
      <w:r>
        <w:rPr>
          <w:rFonts w:ascii="Times New Roman"/>
          <w:b/>
          <w:i w:val="false"/>
          <w:color w:val="000000"/>
        </w:rPr>
        <w:t xml:space="preserve"> Таблица-2. Сведения по распределению пастбищ для размещения маточного (дойного) поголовья крупного рогатого скота по сельскому округу Кабанбай батыра в разрезе населенных пунктов</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r>
    </w:tbl>
    <w:bookmarkStart w:name="z15" w:id="9"/>
    <w:p>
      <w:pPr>
        <w:spacing w:after="0"/>
        <w:ind w:left="0"/>
        <w:jc w:val="left"/>
      </w:pPr>
      <w:r>
        <w:rPr>
          <w:rFonts w:ascii="Times New Roman"/>
          <w:b/>
          <w:i w:val="false"/>
          <w:color w:val="000000"/>
        </w:rPr>
        <w:t xml:space="preserve">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Кабанбай батыра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17" w:id="10"/>
    <w:p>
      <w:pPr>
        <w:spacing w:after="0"/>
        <w:ind w:left="0"/>
        <w:jc w:val="left"/>
      </w:pPr>
      <w:r>
        <w:rPr>
          <w:rFonts w:ascii="Times New Roman"/>
          <w:b/>
          <w:i w:val="false"/>
          <w:color w:val="000000"/>
        </w:rPr>
        <w:t xml:space="preserve"> Приемлемая схема пастбищеоборотов для сельского округа Кабанбай батыра</w:t>
      </w:r>
    </w:p>
    <w:bookmarkEnd w:id="10"/>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19" w:id="11"/>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11"/>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21" w:id="1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2"/>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24" w:id="1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Кабанбай батыра</w:t>
      </w:r>
    </w:p>
    <w:bookmarkEnd w:id="13"/>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26" w:id="1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Целиноградского районного маслихата</w:t>
            </w:r>
            <w:r>
              <w:br/>
            </w:r>
            <w:r>
              <w:rPr>
                <w:rFonts w:ascii="Times New Roman"/>
                <w:b w:val="false"/>
                <w:i w:val="false"/>
                <w:color w:val="000000"/>
                <w:sz w:val="20"/>
              </w:rPr>
              <w:t>от 19 декабря 2023 года</w:t>
            </w:r>
            <w:r>
              <w:br/>
            </w:r>
            <w:r>
              <w:rPr>
                <w:rFonts w:ascii="Times New Roman"/>
                <w:b w:val="false"/>
                <w:i w:val="false"/>
                <w:color w:val="000000"/>
                <w:sz w:val="20"/>
              </w:rPr>
              <w:t>№ 102/14-8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r>
              <w:br/>
            </w:r>
            <w:r>
              <w:rPr>
                <w:rFonts w:ascii="Times New Roman"/>
                <w:b w:val="false"/>
                <w:i w:val="false"/>
                <w:color w:val="000000"/>
                <w:sz w:val="20"/>
              </w:rPr>
              <w:t>Целиноградского районного маслихата</w:t>
            </w:r>
            <w:r>
              <w:br/>
            </w:r>
            <w:r>
              <w:rPr>
                <w:rFonts w:ascii="Times New Roman"/>
                <w:b w:val="false"/>
                <w:i w:val="false"/>
                <w:color w:val="000000"/>
                <w:sz w:val="20"/>
              </w:rPr>
              <w:t>от 30 мая 2023 года</w:t>
            </w:r>
            <w:r>
              <w:br/>
            </w:r>
            <w:r>
              <w:rPr>
                <w:rFonts w:ascii="Times New Roman"/>
                <w:b w:val="false"/>
                <w:i w:val="false"/>
                <w:color w:val="000000"/>
                <w:sz w:val="20"/>
              </w:rPr>
              <w:t>№ 43/5-8</w:t>
            </w:r>
          </w:p>
        </w:tc>
      </w:tr>
    </w:tbl>
    <w:bookmarkStart w:name="z29" w:id="15"/>
    <w:p>
      <w:pPr>
        <w:spacing w:after="0"/>
        <w:ind w:left="0"/>
        <w:jc w:val="left"/>
      </w:pPr>
      <w:r>
        <w:rPr>
          <w:rFonts w:ascii="Times New Roman"/>
          <w:b/>
          <w:i w:val="false"/>
          <w:color w:val="000000"/>
        </w:rPr>
        <w:t xml:space="preserve"> План по управлению пастбищами и их использованию Оразакского сельского округа на 2023-2024 годы</w:t>
      </w:r>
    </w:p>
    <w:bookmarkEnd w:id="15"/>
    <w:p>
      <w:pPr>
        <w:spacing w:after="0"/>
        <w:ind w:left="0"/>
        <w:jc w:val="both"/>
      </w:pPr>
      <w:r>
        <w:rPr>
          <w:rFonts w:ascii="Times New Roman"/>
          <w:b w:val="false"/>
          <w:i w:val="false"/>
          <w:color w:val="000000"/>
          <w:sz w:val="28"/>
        </w:rPr>
        <w:t>
      Настоящий План по управлению пастбищами и их использованию Оразакского сельского округа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Оразакского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Оразакского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Оразакского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Оразакского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Оразакского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Оразакском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Оразакском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Оразакского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Оразакском сельском округе имеются 2 сельских населенных пункта.</w:t>
      </w:r>
    </w:p>
    <w:p>
      <w:pPr>
        <w:spacing w:after="0"/>
        <w:ind w:left="0"/>
        <w:jc w:val="both"/>
      </w:pPr>
      <w:r>
        <w:rPr>
          <w:rFonts w:ascii="Times New Roman"/>
          <w:b w:val="false"/>
          <w:i w:val="false"/>
          <w:color w:val="000000"/>
          <w:sz w:val="28"/>
        </w:rPr>
        <w:t>
      По природным условиям территория Оразакского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Оразакском сельском округе у населения насчитывается крупного рогатого скота 841 голов, из них маточное поголовье 293 голов, мелкого рогатого скота 1477 голов, 532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Оразакском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Оразакском сельском округе действует 1 скотомогильник.</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9257 гектар, потребность составляет 2930 гектар, при норме нагрузки 10 гектар/голов.</w:t>
      </w:r>
    </w:p>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17748 гектар, при норме нагрузки на голову крупного рогатого скота 10 гектар/голов, мелкого рогатого скота 2 гектар/голов, лошадей 12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841 голов * 10 гектар/голов = 8410 гектар;</w:t>
      </w:r>
    </w:p>
    <w:p>
      <w:pPr>
        <w:spacing w:after="0"/>
        <w:ind w:left="0"/>
        <w:jc w:val="both"/>
      </w:pPr>
      <w:r>
        <w:rPr>
          <w:rFonts w:ascii="Times New Roman"/>
          <w:b w:val="false"/>
          <w:i w:val="false"/>
          <w:color w:val="000000"/>
          <w:sz w:val="28"/>
        </w:rPr>
        <w:t>
      для мелкого рогатого скота 1477 голов * 2 гектар/голов = 2954 гектар;</w:t>
      </w:r>
    </w:p>
    <w:p>
      <w:pPr>
        <w:spacing w:after="0"/>
        <w:ind w:left="0"/>
        <w:jc w:val="both"/>
      </w:pPr>
      <w:r>
        <w:rPr>
          <w:rFonts w:ascii="Times New Roman"/>
          <w:b w:val="false"/>
          <w:i w:val="false"/>
          <w:color w:val="000000"/>
          <w:sz w:val="28"/>
        </w:rPr>
        <w:t>
      для лошадей 532 голов * 12 гектар/голов = 6384 гектар.</w:t>
      </w:r>
    </w:p>
    <w:p>
      <w:pPr>
        <w:spacing w:after="0"/>
        <w:ind w:left="0"/>
        <w:jc w:val="both"/>
      </w:pPr>
      <w:r>
        <w:rPr>
          <w:rFonts w:ascii="Times New Roman"/>
          <w:b w:val="false"/>
          <w:i w:val="false"/>
          <w:color w:val="000000"/>
          <w:sz w:val="28"/>
        </w:rPr>
        <w:t>
      8410+2954+6384=17748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31" w:id="16"/>
    <w:p>
      <w:pPr>
        <w:spacing w:after="0"/>
        <w:ind w:left="0"/>
        <w:jc w:val="left"/>
      </w:pPr>
      <w:r>
        <w:rPr>
          <w:rFonts w:ascii="Times New Roman"/>
          <w:b/>
          <w:i w:val="false"/>
          <w:color w:val="000000"/>
        </w:rPr>
        <w:t xml:space="preserve"> Схема (карта) расположения пастбищ на территории Оразакского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6"/>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17"/>
    <w:p>
      <w:pPr>
        <w:spacing w:after="0"/>
        <w:ind w:left="0"/>
        <w:jc w:val="left"/>
      </w:pPr>
      <w:r>
        <w:rPr>
          <w:rFonts w:ascii="Times New Roman"/>
          <w:b/>
          <w:i w:val="false"/>
          <w:color w:val="000000"/>
        </w:rPr>
        <w:t xml:space="preserve"> Таблица-1. Список пастбищ на территории Оразакского сельского округа в разрезе категорий земель, собственников земельных участков и землепользователей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"Искаковых"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01011029018, 01011027034, 01011029029, 01011029038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 бидай"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01011029094, 01011029093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01011029027, 01011029025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"Жаналиновых"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01011029134, 01011029039, 01011029041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01011027039, 01011027041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"Айтмурзиных"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"Асет и 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"Акмола Феникс"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"Акмола-Феникс Плюс"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01011029136, 01011029135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"Adal meat 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Таблица-2. Сведения по распределению пастбищ для размещения маточного (дойного) поголовья крупного рогатого скота по Оразакскому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bl>
    <w:bookmarkStart w:name="z33" w:id="18"/>
    <w:p>
      <w:pPr>
        <w:spacing w:after="0"/>
        <w:ind w:left="0"/>
        <w:jc w:val="left"/>
      </w:pPr>
      <w:r>
        <w:rPr>
          <w:rFonts w:ascii="Times New Roman"/>
          <w:b/>
          <w:i w:val="false"/>
          <w:color w:val="000000"/>
        </w:rPr>
        <w:t xml:space="preserve">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Оразакскому сельскому округу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35" w:id="19"/>
    <w:p>
      <w:pPr>
        <w:spacing w:after="0"/>
        <w:ind w:left="0"/>
        <w:jc w:val="left"/>
      </w:pPr>
      <w:r>
        <w:rPr>
          <w:rFonts w:ascii="Times New Roman"/>
          <w:b/>
          <w:i w:val="false"/>
          <w:color w:val="000000"/>
        </w:rPr>
        <w:t xml:space="preserve"> Приемлемая схема пастбищеоборотов для Оразакского сельского округа</w:t>
      </w:r>
    </w:p>
    <w:bookmarkEnd w:id="19"/>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37" w:id="2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0"/>
    <w:p>
      <w:pPr>
        <w:spacing w:after="0"/>
        <w:ind w:left="0"/>
        <w:jc w:val="left"/>
      </w:pP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39" w:id="2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21"/>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41" w:id="2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2"/>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43" w:id="2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Оразакском сельском округе</w:t>
      </w:r>
    </w:p>
    <w:bookmarkEnd w:id="23"/>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45" w:id="2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47" w:id="2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25"/>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