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0ed" w14:textId="97fd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2023 года № 8/2.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3 287 643,2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922 798,0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2 298 531,5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3 577 281,0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3 438,7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- 293 076,5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293 076,5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2024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2024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2024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2024 год предусмотрен объем субвенции, передаваемой из областного бюджета в сумме 726 451,0 тысяча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предусмотрено погашение бюджетных кредитов в областной бюджет в сумме 19 696,0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сумме 20 271,0 тысяча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2024 год предусмотрены объемы субвенций, передаваемые из районного бюджета в бюджеты сельских округов и села в сумме 263 915,0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17 991,0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23 009,0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15 348,0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13 997,0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19 755,0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18 657,0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23 040,0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19 047,0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21 884,0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23 473,0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Ақсораң 22 673,0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20 155,0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24 886,0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460 719,0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1 163 339,5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-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теущий ремонт котлов, котельного оборудования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сетей электроснабжения к насосным станциям водопровода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