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a322" w14:textId="076a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апреля 2023 года № 2-7. Утратило силу решением Зерендинского районного маслихата Акмолинской области от 24 ноября 2025 года № 36-279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36-279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3, абзац второй пункта 6 и глава 6 действуют до 31.08.2023 в соответствии с пунктом 2 решения Зерендинского районного маслихата Акмолинской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8-48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Зерендинского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решения Зерендинского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Зерендинского районного маслихата от 18 июня 2021 года № 7-47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Зерендинского районного маслихата от 25 февраля 2022 года № 16-109 "О внесении изменений в решение Зерендинского районного маслихата от 18 июня 2021 года № 7-47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Зерендинского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Зерендинского районного маслихата Акмолинской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8-48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маслихата" (далее – районный маслихат)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районного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 1) конкретными (точно определяется результат с указанием ожидаемого положительного изменения, который необходимо достичь); 2) измеримыми (определяются конкретные критерии для измерения достижения КЦИ); 3) достижимыми (КЦИ определяются с учетом имеющихся ресурсов, полномочий и ограничений); 4) ограниченными во времени (определяется срок достижения КЦИ в течение оцениваемого периода);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