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8709" w14:textId="76d8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Аккольского района</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15 ноября 2023 года № С 10-1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 32894), Аккольский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на территории Аккольского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24 июня 2022 года № С 22-3 "Об утверждении порядка проведения раздельных сходов местного сообщества на территории Аккольского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Аккольского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15 ноября 2023 года</w:t>
            </w:r>
            <w:r>
              <w:br/>
            </w:r>
            <w:r>
              <w:rPr>
                <w:rFonts w:ascii="Times New Roman"/>
                <w:b w:val="false"/>
                <w:i w:val="false"/>
                <w:color w:val="000000"/>
                <w:sz w:val="20"/>
              </w:rPr>
              <w:t>№ С 10-1</w:t>
            </w:r>
          </w:p>
        </w:tc>
      </w:tr>
    </w:tbl>
    <w:bookmarkStart w:name="z6"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Аккольского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Аккольского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устанавливает порядок проведения раздельных сходов местного сообщества жителей города районного значения, села, сельского округа.</w:t>
      </w:r>
    </w:p>
    <w:bookmarkEnd w:id="6"/>
    <w:bookmarkStart w:name="z9"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сельского округа, микрорайона, улицы, многоквартирного жилого дома в избрании представителей для участия в сходе местного сообщества;</w:t>
      </w:r>
    </w:p>
    <w:bookmarkEnd w:id="8"/>
    <w:bookmarkStart w:name="z11"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2"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3"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11"/>
    <w:bookmarkStart w:name="z14"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5" w:id="13"/>
    <w:p>
      <w:pPr>
        <w:spacing w:after="0"/>
        <w:ind w:left="0"/>
        <w:jc w:val="both"/>
      </w:pPr>
      <w:r>
        <w:rPr>
          <w:rFonts w:ascii="Times New Roman"/>
          <w:b w:val="false"/>
          <w:i w:val="false"/>
          <w:color w:val="000000"/>
          <w:sz w:val="28"/>
        </w:rPr>
        <w:t>
      5. Акимом города районного значения, села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6"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17" w:id="15"/>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5"/>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Start w:name="z18" w:id="16"/>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bookmarkEnd w:id="1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9" w:id="17"/>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Аккольским районным маслихатом.</w:t>
      </w:r>
    </w:p>
    <w:bookmarkEnd w:id="17"/>
    <w:bookmarkStart w:name="z20" w:id="18"/>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8"/>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21" w:id="19"/>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и сельского округа для регистрации.</w:t>
      </w:r>
    </w:p>
    <w:bookmarkEnd w:id="19"/>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Start w:name="z22" w:id="20"/>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0"/>
    <w:bookmarkStart w:name="z23" w:id="21"/>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1"/>
    <w:bookmarkStart w:name="z24" w:id="22"/>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2"/>
    <w:bookmarkStart w:name="z25" w:id="23"/>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3"/>
    <w:bookmarkStart w:name="z26" w:id="24"/>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