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587" w14:textId="1097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26 февраля 2014 года № 77 "Об утверждении знаков различия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сентября 2023 года № 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февраля 2014 года № 77 "Об утверждении знаков различия органов военной полиции Вооруженных Сил Республики Казахстан" (зарегистрирован в Реестре государственной регистрации нормативных правовых актов за № 9295)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организовать изготовление шевронов, персонифицированных знаков и нагрудных знаков военнослужащих органов военной полиции Вооруженных Сил Республики Казахстан и обеспечение ими подчиненных учреждений и подразделений;";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Знаках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различия органов военной полиции Вооруженных Сил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"Знаками различия органов военной полиции Вооруженных Сил Республики Казахстан являются шеврон, персонифицированный знак и нагрудной знак военнослужащих органов военной полиции.";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Нагрудной знак военнослужащих органов военной полиции Вооруженных Сил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Нагрудной знак военнослужащих органов военной полиции Вооруженных Сил Республики Казахстан (далее – нагрудной знак) является отличительным нагрудным знаком органов военной полиции Вооруженных Сил Республики Казахстан.";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"Нагрудной знак военнослужащих органов военной полиции Вооруженных Сил Республики Казахстан Главное управление военной полиции Вооруженных Сил Республики Казахстан".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их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