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dcc4" w14:textId="d9b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и районными (города областного значения) бюджетами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2022 года № 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 и действует до 31.12.2025.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трансфертов общего характера между областным и районными (города областного значения) бюджетами на 2023-2025 годы в абсолютном выражении с разбивкой по годам: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2023 год в сумме 9 910 886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889 376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896 232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699 755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1 084 973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852 385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1 215 267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1 274 169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954 150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497 000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1 547 579 тысяч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2024 год в сумме 11 541 942 тысячи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1 169 019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999 626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804 583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1 233 355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1 057 234 тысячи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1 364 045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1 422 502 тысячи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1 135 258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677 256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1 679 064 тысячи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2025 год в сумме 13 300 431 тысяча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1 459 872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1 124 342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936 433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1 366 824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1 281 162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1 525 551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1 585 170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1 299 983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867 316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1 853 778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бюджетные изъятия из бюджетов Бурлинского района, района Бәйтерек и города Уральска в областной бюджет на 2023-2025 годы не предусматриваются.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расходах местных бюджетов минимальный объем бюджетных средств по направлению,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действует до 31 декабря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Конысбаева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№16-2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объем бюджетных средств, направляемых на субсидирование пассажирских перевозок по социально значимым городским (сельским), пригородным и внутрирайонным сообщениям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