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a67f" w14:textId="909a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сентября 2021 года №7/20-VII "Об утверждении Плана по управлению пастбищами и их использованию по городу Серебрянск района Алтай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11-VII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сентября 2021 года №7/20-VII "Об утверждении Плана по управлению пастбищами и их использованию по городу Серебрянск района Алтай на 2022-2023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Серебрянск района Алтай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-VII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Серебрянск района Алтай на 2022-2023 годы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городу Серебрянск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по городу Серебрянск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Серебрянск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Серебрянск 2574 га, из них пашни – 233 га, пастбищные земли – 1343 г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родным условиям территория города Серебрянск расположена в горно-луговой зоне. Климат зоны резко континентальный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Серебрянск имеется ветеринарный пункт, скотомогильни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января 2021 года в городе Серебрянск насчитывается (личное подворье населения и поголовье ТОО, КХ) крупного рогатого скота 498 голов, из них маточное (дойное) поголовье 248 голов, мелкого рогатого скота 547 голов, лошадей 7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городу Серебрянск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городу Серебрянск, имеются всего 1343 га пастбищных угодий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города Серебрянск по содержанию маточного (дойного) поголовья сельскохозяйственных животных при имеющихся пастбищных угодьях населенных пунктов в размере 1343 га, потребность составляет 744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ого пункта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уюся потребность пастбищных угодий в размере 810 га необходимо восполнить за счет выпаса сельскохозяйственных животных населения на отгонных пастбищах сельхозпроизводителей.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города Серебрянск организовано 4 гурта: 1 гурт - в западной части города, водопой: ручьи; 2 гурт - в северной части города, водопой: ручей Сухой; 3 гурт - в восточной, водопой: речка Серебрянка; 4 гурт - в южной части города, водопой: Усть-Каменогорское водохранилище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Серебрянск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6962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лиц, у которых отсутствуют пастбища, и перемещения его на предоставляемые пастбища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Серебрянск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696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