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ae83" w14:textId="441a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Канонерскому сельскому округу Бескарагайского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февраля 2022 года № 16/7-VII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Канонерскому сельскому округу Бескарагайского района на 2022-2023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16/7-VІI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Канонерскому сельскому округу Бескарагайского района на 2022-2023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Канонерскому сельскому округу Бескарагайского района на 2022-2023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(карта) расположения пастбищ на территории Канонерского сельского округа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Канонерский сельский округ расположен в центральной части Бескарагайского района в сухостепной зоне, характеризующейся резко континентальным климатом. Зима суровая. Лето сухое, жаркое.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количество осадков составляет 220-280 мм, при этом наибольшее их количество приходится на летние месяцы.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Преобладают юго-восточные ветры, со среднегодовой скоростью 2,7 м/сек.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в основном представлен почвами каштановой подзоны. Увал "Балапан" занят почвами темно-каштановой подзоны.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чертой почвенного покрова является значительное распространение почв "легкого" механического состава (супесчаных и песчаных).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представлен, в основном, полынно-ковыльно-типчаковыми ассоциациями. Кроме ее доминантов, в травостое в небольшом количестве участвуют зопник, подмаренник, качим, тонконог, волоснец гигантский и другие растения.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Гидрографию представляют небольшие озера с пресной и горько-соленой водой, наполняемыми паводковыми и грунтовыми водами. Вода из озер пригодна для водопоя скота весной и в начале лета. Среднесуточная норма потребления воды на одно сельскохозяйственное животное определяется в соответствии с пунктом 9 Правил рационального использования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летнее время водопой скота в основном осуществляется из колодцев.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округе имеется 3 населенных пункта (Канонерка, Кара-Мурза и Карабаш).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усадьба округа, село Канонерка находится в 24 км юго-западнее районного центра села Бескарагай.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сельского округа 78700 га, из них пастбищные земли –16158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сельскохозяйственного назначения 12775 га, в том числе пастбище - 7991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населенных пунктов – 9501 га, в том числе пастбище - 7492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запаса составляют 5844 га, в том числе пастбище 675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Канонерском сельском округе поголовье сельскохозяйственных животных составляет: крупного рогатого скота 2009 голов, из них маточное поголовье местного населения 769 голов, мелкого рогатого скота 647 голов, лошадей 448 голов (таблица 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Населен-ный пункт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дойных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Мурза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в округе организовано: ветеринарный пункт – 1, скотомогильник –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Скотопрогонов на территории сельского округа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пастбищами сельскохозяйственных животных по Канонерскому сельскому округу имеются всего 16158 га пастбищных угодий, в черте населенных пунктов числится 7492 гектар пастбищ. Из всех пастбищ в черте населенных пунктов, в пользовании сельскохозяйственных формирований находится 217 га, для выпаса скота населения имеется 7275 га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Канонерского сельского округа по содержанию маточного (дойного) поголовья сельскохозяйственных животных, при имеющихся пастбищных угодьях вблизи населенного пункта в размере 7275 га, потребность составляет 5738 га (таблица № 2), что позволяет выпасать другие виды животных на площади 1507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в пастбищных угодьях по выпасу других сельскохозяйственных животных местного населения в размере 11060 гектар, при норме нагрузки на голову КРС – 7,5 га/гол, МРС – 1,5 га/гол, лошадей – 9 га/гол (таблица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в составе земель населенных пунктов, кроме пастбищ для выпаса дойных коров, 1507 га. Дополнительная потребность в пастбищах составляет 9553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Лоша-ди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пастбищных угодьях в размере 9553 гектар необходимо восполнить за счет перевода части поголовья на стойловое содержание, выпаса сельскохозяйственных животных населения на залежах в черте населенных пунктов на площади 100 га и землях запаса площадью 450 га, пастбищах в землях запаса на территории сельского округа, на неиспользуемых землях сельхозформирований (по согласованию), а также, при необходимости, на временно используемых в качестве отгонных пастбищах Карабасского сельского округа (учетный квартал 05-240-018).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скота в сельскохозяйственных формированиях Канонерского сельского округа составляет: крупный рогатый скот 257 голов, мелкий рогатый скот 264 головы, лошади 102 головы. Потребность в пастбищах составляет 3242 га (таблица № 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закрепленных за крестьянскими и фермерскими хозяйствами сельского округа составляет 7991 га (таблица №5).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пастбища на площади 4749 га возможно использовать для выпаса скота населения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 (ФИО Наименование организации)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 (41+65)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с/х угодий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"Анна" Голованев В.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Грошев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Ю.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Шабаршов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Калиновская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Клец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"Лана" Адильев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"Наталья-1" Штарик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Киселева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Пелипенко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Кнутовицкий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Чумычкин О.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Ережепбаев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Тулеубаев Т.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Мусаканов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"Ерхан" Толеуов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Турищев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 Ю.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Мусаканов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Какимов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Беленков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"Восточный гусь"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юр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округу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Канонерском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Канонерского сельского округа 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запаса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Канонерском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Канонерском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Канонерском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Канонерском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 и перемещение  его на предоставляемые участки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Канонерском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пастбище в землях запаса Карабасского сельского округа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предполагаемого размещения поголовья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 на отгонных пастбищах площадью 1500 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Канонерском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