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ac96" w14:textId="b0e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Глуховскому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Глуховскому сельскому округу Бескарагайского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16/5-VІI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Глуховскому сельскому округу  Бескарагайского района на 2022-2023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Глуховскому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Глуховского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> 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Глуховский сельский округ расположен в юго-восточной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Гидрографию представляет река Иртыш. Также имеются небольшие озера. Вода пригодна для водопоя скота. Также водопой осуществляется из трубчатых колодцев.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административно-территориальному делению в Глуховском сельском округе имеются 6 сельских населенных пунктов (Глуховка, Белокаменка, Берлык, Жыланды, Старая Крепость и Стеклянка). Административный центр село Глуховка находится в 65,0 км юго-восточнее районного центра села Бескарагай.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115025 га, из них пастбищные земли – 37470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32388,6 га, в том числе пастбище -25185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12692 га, в том числе пастбище -11735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земли запаса составляют 2872 га, в том числе пастбище 550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Глуховском сельском округе поголовье сельскохозяйственных животных составляет: крупного рогатого скота 4864 головы, из них маточное поголовье местного населения 1048 голов, мелкого рогатого скота 2759 голов, лошадей 1249 голов (таблица №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дой-ные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Крепость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Глуховскому сельскому округу имеются всего 37470 га пастбищных угодий, в черте населенных пунктов числится 11735 гектар пастбищ. Из всех пастбищ в черте населенных пунктов, в пользовании сельскохозяйственных формирований находится 879 га, для выпаса скота населения имеется 10856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Глуховского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10856 га, потребность составляет 7860 га (таблица № 2), что позволяет выпасать другие виды животных на площади 2996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пастбищных угодьях по выпасу других сельскохозяйственных животных местного населения в размере 15438 гектар, при норме нагрузки на голову КРС – 7,5 га/гол, МРС – 1,5 га/гол, лошадей – 9 га/гол (таблица № 3). Имеется в составе земель населенных пунктов, кроме пастбищ для выпаса дойных коров 2996 га. Дополнительная потребность в пастбищах составляет 12442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угодьях в размере 12442 гектар необходимо восполнить за счет перевода части поголовья на стойловое содержание, выпаса сельскохозяйственных животных населения на землях запаса на территории сельского округа, неиспользуемых земель сельхозформирований (по согласованию), а также на временно используемых в качестве отгонных пастбищах Долонского сельского округа (учетный квартал 05-240-028).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скота в сельскохозяйственных формированиях Глуховского сельского округа составляет: крупный рогатый скот 2536 голов, мелкий рогатый скот 1651 головы, лошади 785 голова. Потребность в пастбищах составляет 28561 га (таблица №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пастбищ, закрепленных за крестьянскими и фермерскими хозяйствами сельского округа составляет 23657 га (таблица №5). Сложившуюся потребность в пастбищных угодьях крестьянских и фермерских хозяйств в размере 4904 га необходимо восполнить за счет земель запаса и кормовой базы сельскохозяйственных формирований (частичный перевод на стойловое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сельскохозяйственных организаций на территории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к/х и ф/х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сх угодий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Касымов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Каирханов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Кудайбергенов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"Александр" Танков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"Алия-1" Онгарбаев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"Андрей" Губанова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"Архат-1" Жангазин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"Асем-1" Чалдыбаев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"Ануар" Танырбергенов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"Асет-2" Капанов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"Айжан-4" Абетай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"Балке" Токашев 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"Бейбарс"  Жусакенов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Нұрмухамбет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Томилова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Садуакасов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 Копирбаев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"Бакбер" Кайсин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"Верба"  Михайленко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Сысоев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"Вперед"  Сальменова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"Венера" Сайферт Э.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 Тугомбаева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Шаланов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"Дулат" Малабаева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"Едил"  Кадырмолдин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"Жумаш" Касенов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"Жумагул" Абеу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Ажампеисова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"Зеленое Поле"  Котов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Томилов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Аринтаев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"КМДС"  Данченко С.А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"Кедр"  Михайленко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"Крепость"  Оспанова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  Грачева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Михайленков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Жаубасаров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"Каликанулы" Каликов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"Кедр"  Перфильев А.Н.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"Лада" Стрижков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"Лана-2" Балтабаев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"Макпал" Илибаева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 Исагалиев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Муслимова Елена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"Надежда-2" Михайлова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"Нива-1" Гривков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  Марканов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"Ретивый"  Белянцев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"Ризабек"  Сапариева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Ешекеев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"Согра" Мороз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"Стелла" Косяков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"Семей" Хегай В 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Мезибаев Ермек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Гейзер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"Томарис" Касенов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Мусулманкулова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"Омир" Жакибаева 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"Нурлан-2" Ибрайханов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"Адлет-3"  Алимжанов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"Гулим" Оспанов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Рымбаева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"Жанузак" Нуркежанов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"Ернур"  Дюсельбаев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"Кенжебай" Омарханов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"Касым" Утипова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"Гема" Жапишев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Макомбиджан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"Кирьян" Козлов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"Весна" Карташова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"Адлет-5" Абулгазинов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 Мейрманова З.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Иманмадиева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"Луч-3"  Михайленков П.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"Акмарал" Берлыгожин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"Дима" Козырев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Маловичко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"Абугалий" Наурузбаева А.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"Ардак"  Омырбеков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Омаров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Сайдуалиев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Маткаримов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Шаймарданов 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Свинарев Сергей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Амреев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Пяткин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"Жумахан" Хамидуллин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Смагулов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Багаев Борис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 и фх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"Корпарация акшын"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"Иртыш Холдинг"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"Шахзод"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"Эко отын"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"Адал Агро"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Берлык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"Толагай Сут"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"001 SUD"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 и СПК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Глуховском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Глуховского сельского округа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Глуховском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Глуховском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Глуховском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Глуховском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 и перемещение его на предоставляемые участки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Глуховском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пастбище в землях запаса Долонского сельского округа для   предполагаемого размещения поголовья сельскохозяйственных   животных на отгонных пастбищах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Глуховском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