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df12" w14:textId="448d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Созакского района от 13 апреля 2018 года № 110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Созакского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17 мая 2022 года № 140. Утратило силу постановлением акимата Созакского района Туркестанской области от 9 октября 2023 года № 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Туркестанской области от 09.10.2023 № 272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10 декабря 2021 года № 230 "О внесении изменений в некоторые приказы Председателя Агентства Республики Казахстан по делам государственной службы и противодействию коррупции" зарегистрированного в Реестре государственной регистрации нормативных правовых актов № 25790 и к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24 декабря 2021 года № 247 "О внесении изменений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зарегистрированного в Реестре государственной регистрации нормативных правовых актов № 26167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Созакского района корпуса "Б" от 13 апреля 2018 года № 110 (зарегистрировано в государственном реестре нормативных правовых актов 4578)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корпуса "Б" аппарата акима Созакского района,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43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Оразова К.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мая 2022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