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fa64" w14:textId="447f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уркестан от 23 апреля 2018 года № 623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города Туркестан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26 октября 2023 года № 1762. Утратило силу постановлением акимата города Туркестан Туркестанской области от 1 июля 202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01.07.2023 № 23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0 декабря 2021 года № 230 "О внесении изменений в некоторые приказы Председателя Агентства Республики Казахстан по делам государственной службы и противодействию коррупции" зарегистрированного в Реестре государственной регистрации нормативных правовых актов № 25790 и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4 декабря 2021 года № 247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зарегистрированного в Реестре государственной регистрации нормативных правовых актов № 26167, акимат города Туркестан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"Об утверждении Методики оценки деятельности административных государственных служащих исполнительных органов финансируемых из местного бюджета и административных государственных служащих аппарата акима города Туркестан корпуса "Б" от 23 апреля 2018 года № 623 (зарегистрировано в государственном реестре нормативных правовых актов № 460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корпуса "Б" аппарата акима города Туркестан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3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Ауелбекова 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октября 2022 года № 17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 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 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cтруктурного подразделения); E-R-2; E-R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E-3 (руководитель структурного подразделения); 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