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e35a" w14:textId="048e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26 декабря 2022 года № 32/162-VІІ.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Арыс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8 873 974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2 969 476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5 822 944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8 873 974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общей суммы поступлений корпоративного подоходного, индивидуального подоходного налогов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и индивидуальному подоходному налогу с доходов иностранных граждан, не облагаемых у источника выплату в городской бюджет 50 процентов, в областной бюджет 50 процентов, по индивидуальному подоходному налогу с доходов, облагаемых у источника выплаты в городской бюджет 50 процентов, в областной бюджет 50 процентов, по социальному налогу в городской бюджет 50,0 процентов, в областной бюджет 50,0 процентов, индивидуальному подоходному налогу с доходов , не облагаемых у источника выплату в городской бюджет 100,0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2023 год в сумме 12 000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городских бюджетных программ развития и бюджетных инвестиционных проектов и программ на 2023 год.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32/162-VІІ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