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2994" w14:textId="2802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Прогнозирования поступлений в местный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Туркестанской области от 6 июня 2022 года № 115. Утратило силу постановлением акимата Туркестанской области от 24 июня 2025 года № 138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Туркестанской области от 24.06.2025 № 138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Бюджетного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прогнозирования поступлений в местный бюджет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области Сабитова А. С.</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Жетпісбай 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Тургумбеков А.Е.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Калкаманов С.А.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Сабитов 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Тажибаев 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Кайыпбек 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Тасыбаев А.Б.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6 июня 2022 года № 115</w:t>
            </w:r>
          </w:p>
        </w:tc>
      </w:tr>
    </w:tbl>
    <w:bookmarkStart w:name="z6" w:id="4"/>
    <w:p>
      <w:pPr>
        <w:spacing w:after="0"/>
        <w:ind w:left="0"/>
        <w:jc w:val="left"/>
      </w:pPr>
      <w:r>
        <w:rPr>
          <w:rFonts w:ascii="Times New Roman"/>
          <w:b/>
          <w:i w:val="false"/>
          <w:color w:val="000000"/>
        </w:rPr>
        <w:t xml:space="preserve"> Правила прогнозирования поступлений местного бюджета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прогнозирования поступлений в местный бюджет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Бюджетного кодекса Республики Казахстан (далее – Бюджетный кодекс).</w:t>
      </w:r>
    </w:p>
    <w:bookmarkEnd w:id="6"/>
    <w:bookmarkStart w:name="z9" w:id="7"/>
    <w:p>
      <w:pPr>
        <w:spacing w:after="0"/>
        <w:ind w:left="0"/>
        <w:jc w:val="both"/>
      </w:pPr>
      <w:r>
        <w:rPr>
          <w:rFonts w:ascii="Times New Roman"/>
          <w:b w:val="false"/>
          <w:i w:val="false"/>
          <w:color w:val="000000"/>
          <w:sz w:val="28"/>
        </w:rPr>
        <w:t xml:space="preserve">
      2. Прогнозирование поступлений в местный бюджет на плановый период осуществляется в соответствии с Кодексом Республики Казахстан "О налогах и других обязательных платежах в бюджет" (далее - </w:t>
      </w:r>
      <w:r>
        <w:rPr>
          <w:rFonts w:ascii="Times New Roman"/>
          <w:b w:val="false"/>
          <w:i w:val="false"/>
          <w:color w:val="000000"/>
          <w:sz w:val="28"/>
        </w:rPr>
        <w:t>Налоговый кодекс</w:t>
      </w:r>
      <w:r>
        <w:rPr>
          <w:rFonts w:ascii="Times New Roman"/>
          <w:b w:val="false"/>
          <w:i w:val="false"/>
          <w:color w:val="000000"/>
          <w:sz w:val="28"/>
        </w:rPr>
        <w:t xml:space="preserve">), </w:t>
      </w:r>
      <w:r>
        <w:rPr>
          <w:rFonts w:ascii="Times New Roman"/>
          <w:b w:val="false"/>
          <w:i w:val="false"/>
          <w:color w:val="000000"/>
          <w:sz w:val="28"/>
        </w:rPr>
        <w:t>Бюджетным кодексом</w:t>
      </w:r>
      <w:r>
        <w:rPr>
          <w:rFonts w:ascii="Times New Roman"/>
          <w:b w:val="false"/>
          <w:i w:val="false"/>
          <w:color w:val="000000"/>
          <w:sz w:val="28"/>
        </w:rPr>
        <w:t xml:space="preserve"> и другими нормативно правовыми актами Республики Казахстан.</w:t>
      </w:r>
    </w:p>
    <w:bookmarkEnd w:id="7"/>
    <w:bookmarkStart w:name="z10" w:id="8"/>
    <w:p>
      <w:pPr>
        <w:spacing w:after="0"/>
        <w:ind w:left="0"/>
        <w:jc w:val="both"/>
      </w:pPr>
      <w:r>
        <w:rPr>
          <w:rFonts w:ascii="Times New Roman"/>
          <w:b w:val="false"/>
          <w:i w:val="false"/>
          <w:color w:val="000000"/>
          <w:sz w:val="28"/>
        </w:rPr>
        <w:t>
      3. При прогнозировании доходов в местный бюджет используются макроэкономические показатели прогноза социально-экономического развития Туркестанской области (далее – ПСЭР) в номинальном выражении.</w:t>
      </w:r>
    </w:p>
    <w:bookmarkEnd w:id="8"/>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Start w:name="z11" w:id="9"/>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w:t>
      </w:r>
      <w:r>
        <w:rPr>
          <w:rFonts w:ascii="Times New Roman"/>
          <w:b w:val="false"/>
          <w:i w:val="false"/>
          <w:color w:val="000000"/>
          <w:sz w:val="28"/>
        </w:rPr>
        <w:t>Налоговый кодекс</w:t>
      </w:r>
      <w:r>
        <w:rPr>
          <w:rFonts w:ascii="Times New Roman"/>
          <w:b w:val="false"/>
          <w:i w:val="false"/>
          <w:color w:val="000000"/>
          <w:sz w:val="28"/>
        </w:rPr>
        <w:t xml:space="preserve"> и </w:t>
      </w:r>
      <w:r>
        <w:rPr>
          <w:rFonts w:ascii="Times New Roman"/>
          <w:b w:val="false"/>
          <w:i w:val="false"/>
          <w:color w:val="000000"/>
          <w:sz w:val="28"/>
        </w:rPr>
        <w:t>Бюджетный кодекс</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5. Прогнозирование поступлений осуществляется несколькими методами расчета в целях определения оптимальных прогнозных показателей.</w:t>
      </w:r>
    </w:p>
    <w:bookmarkEnd w:id="10"/>
    <w:bookmarkStart w:name="z13" w:id="11"/>
    <w:p>
      <w:pPr>
        <w:spacing w:after="0"/>
        <w:ind w:left="0"/>
        <w:jc w:val="both"/>
      </w:pPr>
      <w:r>
        <w:rPr>
          <w:rFonts w:ascii="Times New Roman"/>
          <w:b w:val="false"/>
          <w:i w:val="false"/>
          <w:color w:val="000000"/>
          <w:sz w:val="28"/>
        </w:rPr>
        <w:t>
      6. При определении прогнозов поступлений на плановый период за базу принимается оценка поступлений по текущему финансовому году.</w:t>
      </w:r>
    </w:p>
    <w:bookmarkEnd w:id="11"/>
    <w:bookmarkStart w:name="z14" w:id="12"/>
    <w:p>
      <w:pPr>
        <w:spacing w:after="0"/>
        <w:ind w:left="0"/>
        <w:jc w:val="both"/>
      </w:pPr>
      <w:r>
        <w:rPr>
          <w:rFonts w:ascii="Times New Roman"/>
          <w:b w:val="false"/>
          <w:i w:val="false"/>
          <w:color w:val="000000"/>
          <w:sz w:val="28"/>
        </w:rPr>
        <w:t xml:space="preserve">
      7. При определении оценки налогового потенциала на плановый период за базу принимается налоговый потенциал по текущему финансовому году. </w:t>
      </w:r>
    </w:p>
    <w:bookmarkEnd w:id="12"/>
    <w:bookmarkStart w:name="z15" w:id="13"/>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13"/>
    <w:bookmarkStart w:name="z16" w:id="14"/>
    <w:p>
      <w:pPr>
        <w:spacing w:after="0"/>
        <w:ind w:left="0"/>
        <w:jc w:val="left"/>
      </w:pPr>
      <w:r>
        <w:rPr>
          <w:rFonts w:ascii="Times New Roman"/>
          <w:b/>
          <w:i w:val="false"/>
          <w:color w:val="000000"/>
        </w:rPr>
        <w:t xml:space="preserve"> Глава 2. Прогнозирование поступлений в местный бюджет</w:t>
      </w:r>
    </w:p>
    <w:bookmarkEnd w:id="14"/>
    <w:bookmarkStart w:name="z17" w:id="15"/>
    <w:p>
      <w:pPr>
        <w:spacing w:after="0"/>
        <w:ind w:left="0"/>
        <w:jc w:val="left"/>
      </w:pPr>
      <w:r>
        <w:rPr>
          <w:rFonts w:ascii="Times New Roman"/>
          <w:b/>
          <w:i w:val="false"/>
          <w:color w:val="000000"/>
        </w:rPr>
        <w:t xml:space="preserve"> Параграф 1. Налоговые поступления</w:t>
      </w:r>
    </w:p>
    <w:bookmarkEnd w:id="15"/>
    <w:bookmarkStart w:name="z18" w:id="16"/>
    <w:p>
      <w:pPr>
        <w:spacing w:after="0"/>
        <w:ind w:left="0"/>
        <w:jc w:val="both"/>
      </w:pPr>
      <w:r>
        <w:rPr>
          <w:rFonts w:ascii="Times New Roman"/>
          <w:b w:val="false"/>
          <w:i w:val="false"/>
          <w:color w:val="000000"/>
          <w:sz w:val="28"/>
        </w:rPr>
        <w:t>
      9. Прогнозирование налоговых поступлений осуществляется следующими методами:</w:t>
      </w:r>
    </w:p>
    <w:bookmarkEnd w:id="16"/>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P = Pотч * (100% + I),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I – уровень инфляции, %;</w:t>
      </w:r>
    </w:p>
    <w:p>
      <w:pPr>
        <w:spacing w:after="0"/>
        <w:ind w:left="0"/>
        <w:jc w:val="both"/>
      </w:pPr>
      <w:r>
        <w:rPr>
          <w:rFonts w:ascii="Times New Roman"/>
          <w:b w:val="false"/>
          <w:i w:val="false"/>
          <w:color w:val="000000"/>
          <w:sz w:val="28"/>
        </w:rPr>
        <w:t>
      2) усредненный расчет,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p>
      <w:pPr>
        <w:spacing w:after="0"/>
        <w:ind w:left="0"/>
        <w:jc w:val="both"/>
      </w:pPr>
      <w:r>
        <w:rPr>
          <w:rFonts w:ascii="Times New Roman"/>
          <w:b w:val="false"/>
          <w:i w:val="false"/>
          <w:color w:val="000000"/>
          <w:sz w:val="28"/>
        </w:rPr>
        <w:t>
      P = Pотч * Trсрд,</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Trсрд – средний темп роста за три года, %,</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Trсрд = (Trотч(1год) + Trотч(2год) + Trотч(3год))/3, где:</w:t>
      </w:r>
    </w:p>
    <w:p>
      <w:pPr>
        <w:spacing w:after="0"/>
        <w:ind w:left="0"/>
        <w:jc w:val="both"/>
      </w:pPr>
      <w:r>
        <w:rPr>
          <w:rFonts w:ascii="Times New Roman"/>
          <w:b w:val="false"/>
          <w:i w:val="false"/>
          <w:color w:val="000000"/>
          <w:sz w:val="28"/>
        </w:rPr>
        <w:t>
      Trотч(1год) – темп роста поступлений первого года, %;</w:t>
      </w:r>
    </w:p>
    <w:p>
      <w:pPr>
        <w:spacing w:after="0"/>
        <w:ind w:left="0"/>
        <w:jc w:val="both"/>
      </w:pPr>
      <w:r>
        <w:rPr>
          <w:rFonts w:ascii="Times New Roman"/>
          <w:b w:val="false"/>
          <w:i w:val="false"/>
          <w:color w:val="000000"/>
          <w:sz w:val="28"/>
        </w:rPr>
        <w:t>
      Trотч(2год) – темп роста поступлений второго года, %;</w:t>
      </w:r>
    </w:p>
    <w:p>
      <w:pPr>
        <w:spacing w:after="0"/>
        <w:ind w:left="0"/>
        <w:jc w:val="both"/>
      </w:pPr>
      <w:r>
        <w:rPr>
          <w:rFonts w:ascii="Times New Roman"/>
          <w:b w:val="false"/>
          <w:i w:val="false"/>
          <w:color w:val="000000"/>
          <w:sz w:val="28"/>
        </w:rPr>
        <w:t>
      Trотч(3год) – темп роста поступлений третьего года, %;</w:t>
      </w:r>
    </w:p>
    <w:p>
      <w:pPr>
        <w:spacing w:after="0"/>
        <w:ind w:left="0"/>
        <w:jc w:val="both"/>
      </w:pPr>
      <w:r>
        <w:rPr>
          <w:rFonts w:ascii="Times New Roman"/>
          <w:b w:val="false"/>
          <w:i w:val="false"/>
          <w:color w:val="000000"/>
          <w:sz w:val="28"/>
        </w:rPr>
        <w:t>
      3) путем экстраполяции по формуле:</w:t>
      </w:r>
    </w:p>
    <w:p>
      <w:pPr>
        <w:spacing w:after="0"/>
        <w:ind w:left="0"/>
        <w:jc w:val="both"/>
      </w:pPr>
      <w:r>
        <w:rPr>
          <w:rFonts w:ascii="Times New Roman"/>
          <w:b w:val="false"/>
          <w:i w:val="false"/>
          <w:color w:val="000000"/>
          <w:sz w:val="28"/>
        </w:rPr>
        <w:t>
      P = Pотч + Sсрд,</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Sсрд – сумма прироста в среднем за три года,</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Sсрд = ((Sотч (1 год) - Sотч(пред.год)) + (Sотч (2 год) – Sотч (1 год)) + (Sотч(3 год) - Sотч(2 год)))/3,</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p>
      <w:pPr>
        <w:spacing w:after="0"/>
        <w:ind w:left="0"/>
        <w:jc w:val="both"/>
      </w:pPr>
      <w:r>
        <w:rPr>
          <w:rFonts w:ascii="Times New Roman"/>
          <w:b w:val="false"/>
          <w:i w:val="false"/>
          <w:color w:val="000000"/>
          <w:sz w:val="28"/>
        </w:rPr>
        <w:t>
      4) по удельному весу фактических поступлений за определенный период в отчетном финансовом году, по формуле:</w:t>
      </w:r>
    </w:p>
    <w:p>
      <w:pPr>
        <w:spacing w:after="0"/>
        <w:ind w:left="0"/>
        <w:jc w:val="both"/>
      </w:pPr>
      <w:r>
        <w:rPr>
          <w:rFonts w:ascii="Times New Roman"/>
          <w:b w:val="false"/>
          <w:i w:val="false"/>
          <w:color w:val="000000"/>
          <w:sz w:val="28"/>
        </w:rPr>
        <w:t>
      Poц = Pф(тек)/Uотч</w:t>
      </w:r>
    </w:p>
    <w:p>
      <w:pPr>
        <w:spacing w:after="0"/>
        <w:ind w:left="0"/>
        <w:jc w:val="both"/>
      </w:pPr>
      <w:r>
        <w:rPr>
          <w:rFonts w:ascii="Times New Roman"/>
          <w:b w:val="false"/>
          <w:i w:val="false"/>
          <w:color w:val="000000"/>
          <w:sz w:val="28"/>
        </w:rPr>
        <w:t>
      Uотч = Pф(отч) /Pотч *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Poц – оценка поступлений по текущему финансовому году;</w:t>
      </w:r>
    </w:p>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p>
      <w:pPr>
        <w:spacing w:after="0"/>
        <w:ind w:left="0"/>
        <w:jc w:val="both"/>
      </w:pPr>
      <w:r>
        <w:rPr>
          <w:rFonts w:ascii="Times New Roman"/>
          <w:b w:val="false"/>
          <w:i w:val="false"/>
          <w:color w:val="000000"/>
          <w:sz w:val="28"/>
        </w:rPr>
        <w:t>
      Pотч – фактические поступления за отчетный финансовый год;</w:t>
      </w:r>
    </w:p>
    <w:p>
      <w:pPr>
        <w:spacing w:after="0"/>
        <w:ind w:left="0"/>
        <w:jc w:val="both"/>
      </w:pPr>
      <w:r>
        <w:rPr>
          <w:rFonts w:ascii="Times New Roman"/>
          <w:b w:val="false"/>
          <w:i w:val="false"/>
          <w:color w:val="000000"/>
          <w:sz w:val="28"/>
        </w:rPr>
        <w:t>
      5) по среднемесячному поступлению за определенный период по текущему финансовому году, по формуле:</w:t>
      </w:r>
    </w:p>
    <w:p>
      <w:pPr>
        <w:spacing w:after="0"/>
        <w:ind w:left="0"/>
        <w:jc w:val="both"/>
      </w:pPr>
      <w:r>
        <w:rPr>
          <w:rFonts w:ascii="Times New Roman"/>
          <w:b w:val="false"/>
          <w:i w:val="false"/>
          <w:color w:val="000000"/>
          <w:sz w:val="28"/>
        </w:rPr>
        <w:t>
      Poц = Pф(тек)/Kф(тек) * 12, где:</w:t>
      </w:r>
    </w:p>
    <w:p>
      <w:pPr>
        <w:spacing w:after="0"/>
        <w:ind w:left="0"/>
        <w:jc w:val="both"/>
      </w:pPr>
      <w:r>
        <w:rPr>
          <w:rFonts w:ascii="Times New Roman"/>
          <w:b w:val="false"/>
          <w:i w:val="false"/>
          <w:color w:val="000000"/>
          <w:sz w:val="28"/>
        </w:rPr>
        <w:t>
      Poц – оценка поступлений по текущему финансовому году;</w:t>
      </w:r>
    </w:p>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p>
      <w:pPr>
        <w:spacing w:after="0"/>
        <w:ind w:left="0"/>
        <w:jc w:val="both"/>
      </w:pPr>
      <w:r>
        <w:rPr>
          <w:rFonts w:ascii="Times New Roman"/>
          <w:b w:val="false"/>
          <w:i w:val="false"/>
          <w:color w:val="000000"/>
          <w:sz w:val="28"/>
        </w:rPr>
        <w:t>
      12 – количество месяцев в году.</w:t>
      </w:r>
    </w:p>
    <w:bookmarkStart w:name="z19" w:id="17"/>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изменений),суммы, доначисленные по актам налоговых проверок.</w:t>
      </w:r>
    </w:p>
    <w:bookmarkEnd w:id="17"/>
    <w:bookmarkStart w:name="z20" w:id="18"/>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18"/>
    <w:bookmarkStart w:name="z21" w:id="19"/>
    <w:p>
      <w:pPr>
        <w:spacing w:after="0"/>
        <w:ind w:left="0"/>
        <w:jc w:val="left"/>
      </w:pPr>
      <w:r>
        <w:rPr>
          <w:rFonts w:ascii="Times New Roman"/>
          <w:b/>
          <w:i w:val="false"/>
          <w:color w:val="000000"/>
        </w:rPr>
        <w:t xml:space="preserve"> Параграф 2. Неналоговые поступления</w:t>
      </w:r>
    </w:p>
    <w:bookmarkEnd w:id="19"/>
    <w:bookmarkStart w:name="z22" w:id="20"/>
    <w:p>
      <w:pPr>
        <w:spacing w:after="0"/>
        <w:ind w:left="0"/>
        <w:jc w:val="both"/>
      </w:pPr>
      <w:r>
        <w:rPr>
          <w:rFonts w:ascii="Times New Roman"/>
          <w:b w:val="false"/>
          <w:i w:val="false"/>
          <w:color w:val="000000"/>
          <w:sz w:val="28"/>
        </w:rPr>
        <w:t>
      12.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0"/>
    <w:bookmarkStart w:name="z23" w:id="21"/>
    <w:p>
      <w:pPr>
        <w:spacing w:after="0"/>
        <w:ind w:left="0"/>
        <w:jc w:val="both"/>
      </w:pPr>
      <w:r>
        <w:rPr>
          <w:rFonts w:ascii="Times New Roman"/>
          <w:b w:val="false"/>
          <w:i w:val="false"/>
          <w:color w:val="000000"/>
          <w:sz w:val="28"/>
        </w:rPr>
        <w:t>
      13.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1"/>
    <w:bookmarkStart w:name="z24" w:id="22"/>
    <w:p>
      <w:pPr>
        <w:spacing w:after="0"/>
        <w:ind w:left="0"/>
        <w:jc w:val="left"/>
      </w:pPr>
      <w:r>
        <w:rPr>
          <w:rFonts w:ascii="Times New Roman"/>
          <w:b/>
          <w:i w:val="false"/>
          <w:color w:val="000000"/>
        </w:rPr>
        <w:t xml:space="preserve"> Параграф 3. Поступления от продажи основного капитала</w:t>
      </w:r>
    </w:p>
    <w:bookmarkEnd w:id="22"/>
    <w:bookmarkStart w:name="z25" w:id="23"/>
    <w:p>
      <w:pPr>
        <w:spacing w:after="0"/>
        <w:ind w:left="0"/>
        <w:jc w:val="both"/>
      </w:pPr>
      <w:r>
        <w:rPr>
          <w:rFonts w:ascii="Times New Roman"/>
          <w:b w:val="false"/>
          <w:i w:val="false"/>
          <w:color w:val="000000"/>
          <w:sz w:val="28"/>
        </w:rPr>
        <w:t>
      14.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3"/>
    <w:bookmarkStart w:name="z26" w:id="24"/>
    <w:p>
      <w:pPr>
        <w:spacing w:after="0"/>
        <w:ind w:left="0"/>
        <w:jc w:val="left"/>
      </w:pPr>
      <w:r>
        <w:rPr>
          <w:rFonts w:ascii="Times New Roman"/>
          <w:b/>
          <w:i w:val="false"/>
          <w:color w:val="000000"/>
        </w:rPr>
        <w:t xml:space="preserve"> Параграф 4. Индивидуальный подоходный налог</w:t>
      </w:r>
    </w:p>
    <w:bookmarkEnd w:id="24"/>
    <w:bookmarkStart w:name="z27" w:id="25"/>
    <w:p>
      <w:pPr>
        <w:spacing w:after="0"/>
        <w:ind w:left="0"/>
        <w:jc w:val="both"/>
      </w:pPr>
      <w:r>
        <w:rPr>
          <w:rFonts w:ascii="Times New Roman"/>
          <w:b w:val="false"/>
          <w:i w:val="false"/>
          <w:color w:val="000000"/>
          <w:sz w:val="28"/>
        </w:rPr>
        <w:t>
      15.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25"/>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району.</w:t>
      </w:r>
    </w:p>
    <w:bookmarkStart w:name="z28" w:id="26"/>
    <w:p>
      <w:pPr>
        <w:spacing w:after="0"/>
        <w:ind w:left="0"/>
        <w:jc w:val="both"/>
      </w:pPr>
      <w:r>
        <w:rPr>
          <w:rFonts w:ascii="Times New Roman"/>
          <w:b w:val="false"/>
          <w:i w:val="false"/>
          <w:color w:val="000000"/>
          <w:sz w:val="28"/>
        </w:rPr>
        <w:t xml:space="preserve">
      16.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налогу в районе,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w:t>
      </w:r>
    </w:p>
    <w:bookmarkEnd w:id="26"/>
    <w:p>
      <w:pPr>
        <w:spacing w:after="0"/>
        <w:ind w:left="0"/>
        <w:jc w:val="both"/>
      </w:pPr>
      <w:r>
        <w:rPr>
          <w:rFonts w:ascii="Times New Roman"/>
          <w:b w:val="false"/>
          <w:i w:val="false"/>
          <w:color w:val="000000"/>
          <w:sz w:val="28"/>
        </w:rPr>
        <w:t>
      Расчет изменения налогового потенциала по индивидуальному подоходному налогу производится отдельно по конкретным налогоплательщикам по сведениям территориального уполномоченного органа по исполнению бюджета.</w:t>
      </w:r>
    </w:p>
    <w:bookmarkStart w:name="z29" w:id="27"/>
    <w:p>
      <w:pPr>
        <w:spacing w:after="0"/>
        <w:ind w:left="0"/>
        <w:jc w:val="both"/>
      </w:pPr>
      <w:r>
        <w:rPr>
          <w:rFonts w:ascii="Times New Roman"/>
          <w:b w:val="false"/>
          <w:i w:val="false"/>
          <w:color w:val="000000"/>
          <w:sz w:val="28"/>
        </w:rPr>
        <w:t>
      17.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27"/>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IPN (об)п = (Dfzp * Sотч) ± Iipn</w:t>
      </w:r>
    </w:p>
    <w:p>
      <w:pPr>
        <w:spacing w:after="0"/>
        <w:ind w:left="0"/>
        <w:jc w:val="both"/>
      </w:pPr>
      <w:r>
        <w:rPr>
          <w:rFonts w:ascii="Times New Roman"/>
          <w:b w:val="false"/>
          <w:i w:val="false"/>
          <w:color w:val="000000"/>
          <w:sz w:val="28"/>
        </w:rPr>
        <w:t xml:space="preserve">
      Sотч = IPN (об)отч /Dотч *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p>
      <w:pPr>
        <w:spacing w:after="0"/>
        <w:ind w:left="0"/>
        <w:jc w:val="both"/>
      </w:pPr>
      <w:r>
        <w:rPr>
          <w:rFonts w:ascii="Times New Roman"/>
          <w:b w:val="false"/>
          <w:i w:val="false"/>
          <w:color w:val="000000"/>
          <w:sz w:val="28"/>
        </w:rPr>
        <w:t>
      Sотч – эффективная ставка за отчетный финансовый год, %;</w:t>
      </w:r>
    </w:p>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p>
      <w:pPr>
        <w:spacing w:after="0"/>
        <w:ind w:left="0"/>
        <w:jc w:val="both"/>
      </w:pPr>
      <w:r>
        <w:rPr>
          <w:rFonts w:ascii="Times New Roman"/>
          <w:b w:val="false"/>
          <w:i w:val="false"/>
          <w:color w:val="000000"/>
          <w:sz w:val="28"/>
        </w:rPr>
        <w:t>
      Dотч – фонд заработной платы за отчетный финансовый год;</w:t>
      </w:r>
    </w:p>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p>
      <w:pPr>
        <w:spacing w:after="0"/>
        <w:ind w:left="0"/>
        <w:jc w:val="both"/>
      </w:pPr>
      <w:r>
        <w:rPr>
          <w:rFonts w:ascii="Times New Roman"/>
          <w:b w:val="false"/>
          <w:i w:val="false"/>
          <w:color w:val="000000"/>
          <w:sz w:val="28"/>
        </w:rPr>
        <w:t xml:space="preserve">
      IPN (об)п = (Ofzp * Fipn),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p>
      <w:pPr>
        <w:spacing w:after="0"/>
        <w:ind w:left="0"/>
        <w:jc w:val="both"/>
      </w:pPr>
      <w:r>
        <w:rPr>
          <w:rFonts w:ascii="Times New Roman"/>
          <w:b w:val="false"/>
          <w:i w:val="false"/>
          <w:color w:val="000000"/>
          <w:sz w:val="28"/>
        </w:rPr>
        <w:t xml:space="preserve">
      Fipn – ставка индивидуального подоходного налога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28"/>
    <w:p>
      <w:pPr>
        <w:spacing w:after="0"/>
        <w:ind w:left="0"/>
        <w:jc w:val="both"/>
      </w:pPr>
      <w:r>
        <w:rPr>
          <w:rFonts w:ascii="Times New Roman"/>
          <w:b w:val="false"/>
          <w:i w:val="false"/>
          <w:color w:val="000000"/>
          <w:sz w:val="28"/>
        </w:rPr>
        <w:t xml:space="preserve">
      IPN (ноб)п = IPN (ноб)оц * (100% + Iп),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p>
      <w:pPr>
        <w:spacing w:after="0"/>
        <w:ind w:left="0"/>
        <w:jc w:val="both"/>
      </w:pPr>
      <w:r>
        <w:rPr>
          <w:rFonts w:ascii="Times New Roman"/>
          <w:b w:val="false"/>
          <w:i w:val="false"/>
          <w:color w:val="000000"/>
          <w:sz w:val="28"/>
        </w:rPr>
        <w:t>
      IPN (ноб)оц – оценка налогового потенциала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31" w:id="29"/>
    <w:p>
      <w:pPr>
        <w:spacing w:after="0"/>
        <w:ind w:left="0"/>
        <w:jc w:val="left"/>
      </w:pPr>
      <w:r>
        <w:rPr>
          <w:rFonts w:ascii="Times New Roman"/>
          <w:b/>
          <w:i w:val="false"/>
          <w:color w:val="000000"/>
        </w:rPr>
        <w:t xml:space="preserve"> Параграф 5. Корпоративный подоходный налог</w:t>
      </w:r>
    </w:p>
    <w:bookmarkEnd w:id="29"/>
    <w:bookmarkStart w:name="z32" w:id="30"/>
    <w:p>
      <w:pPr>
        <w:spacing w:after="0"/>
        <w:ind w:left="0"/>
        <w:jc w:val="both"/>
      </w:pPr>
      <w:r>
        <w:rPr>
          <w:rFonts w:ascii="Times New Roman"/>
          <w:b w:val="false"/>
          <w:i w:val="false"/>
          <w:color w:val="000000"/>
          <w:sz w:val="28"/>
        </w:rPr>
        <w:t xml:space="preserve">
      19.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следующими методами:</w:t>
      </w:r>
    </w:p>
    <w:bookmarkEnd w:id="30"/>
    <w:p>
      <w:pPr>
        <w:spacing w:after="0"/>
        <w:ind w:left="0"/>
        <w:jc w:val="both"/>
      </w:pPr>
      <w:r>
        <w:rPr>
          <w:rFonts w:ascii="Times New Roman"/>
          <w:b w:val="false"/>
          <w:i w:val="false"/>
          <w:color w:val="000000"/>
          <w:sz w:val="28"/>
        </w:rPr>
        <w:t>
      1) на основе объема валовой добавленной стоимости ненефтяного сектора (далее - ВДС) прогноза социально-экономического развития Республики Казахстан по следующей формуле:</w:t>
      </w:r>
    </w:p>
    <w:p>
      <w:pPr>
        <w:spacing w:after="0"/>
        <w:ind w:left="0"/>
        <w:jc w:val="both"/>
      </w:pPr>
      <w:r>
        <w:rPr>
          <w:rFonts w:ascii="Times New Roman"/>
          <w:b w:val="false"/>
          <w:i w:val="false"/>
          <w:color w:val="000000"/>
          <w:sz w:val="28"/>
        </w:rPr>
        <w:t xml:space="preserve">
      KPNп = KPNоц * T(вдс)/100,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KPNп – прогноз по корпоративному подоходному налогу;</w:t>
      </w:r>
    </w:p>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p>
      <w:pPr>
        <w:spacing w:after="0"/>
        <w:ind w:left="0"/>
        <w:jc w:val="both"/>
      </w:pPr>
      <w:r>
        <w:rPr>
          <w:rFonts w:ascii="Times New Roman"/>
          <w:b w:val="false"/>
          <w:i w:val="false"/>
          <w:color w:val="000000"/>
          <w:sz w:val="28"/>
        </w:rPr>
        <w:t>
      T(вдс) – прогноз темпа роста ВДС ненефтяного сектора Республики Казахстан, %;</w:t>
      </w:r>
    </w:p>
    <w:p>
      <w:pPr>
        <w:spacing w:after="0"/>
        <w:ind w:left="0"/>
        <w:jc w:val="both"/>
      </w:pPr>
      <w:r>
        <w:rPr>
          <w:rFonts w:ascii="Times New Roman"/>
          <w:b w:val="false"/>
          <w:i w:val="false"/>
          <w:color w:val="000000"/>
          <w:sz w:val="28"/>
        </w:rPr>
        <w:t>
      2)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KPNп = KPNоц * (100% + Iп)/100, где:</w:t>
      </w:r>
    </w:p>
    <w:p>
      <w:pPr>
        <w:spacing w:after="0"/>
        <w:ind w:left="0"/>
        <w:jc w:val="both"/>
      </w:pPr>
      <w:r>
        <w:rPr>
          <w:rFonts w:ascii="Times New Roman"/>
          <w:b w:val="false"/>
          <w:i w:val="false"/>
          <w:color w:val="000000"/>
          <w:sz w:val="28"/>
        </w:rPr>
        <w:t>
      KPNп – прогноз по корпоративному подоходному налогу;</w:t>
      </w:r>
    </w:p>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33" w:id="31"/>
    <w:p>
      <w:pPr>
        <w:spacing w:after="0"/>
        <w:ind w:left="0"/>
        <w:jc w:val="left"/>
      </w:pPr>
      <w:r>
        <w:rPr>
          <w:rFonts w:ascii="Times New Roman"/>
          <w:b/>
          <w:i w:val="false"/>
          <w:color w:val="000000"/>
        </w:rPr>
        <w:t xml:space="preserve"> Параграф 6. Социальный налог</w:t>
      </w:r>
    </w:p>
    <w:bookmarkEnd w:id="31"/>
    <w:bookmarkStart w:name="z34" w:id="32"/>
    <w:p>
      <w:pPr>
        <w:spacing w:after="0"/>
        <w:ind w:left="0"/>
        <w:jc w:val="both"/>
      </w:pPr>
      <w:r>
        <w:rPr>
          <w:rFonts w:ascii="Times New Roman"/>
          <w:b w:val="false"/>
          <w:i w:val="false"/>
          <w:color w:val="000000"/>
          <w:sz w:val="28"/>
        </w:rPr>
        <w:t>
      20. Налоговой базой для исчисления социального налога является заработная плата в номинальном выражении.</w:t>
      </w:r>
    </w:p>
    <w:bookmarkEnd w:id="32"/>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району.</w:t>
      </w:r>
    </w:p>
    <w:bookmarkStart w:name="z35" w:id="33"/>
    <w:p>
      <w:pPr>
        <w:spacing w:after="0"/>
        <w:ind w:left="0"/>
        <w:jc w:val="both"/>
      </w:pPr>
      <w:r>
        <w:rPr>
          <w:rFonts w:ascii="Times New Roman"/>
          <w:b w:val="false"/>
          <w:i w:val="false"/>
          <w:color w:val="000000"/>
          <w:sz w:val="28"/>
        </w:rPr>
        <w:t xml:space="preserve">
      21. В оценке налогового потенциала по социальному налогу на плановый период учитывается изменение налогового потенциала по налогу в районе,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w:t>
      </w:r>
    </w:p>
    <w:bookmarkEnd w:id="33"/>
    <w:p>
      <w:pPr>
        <w:spacing w:after="0"/>
        <w:ind w:left="0"/>
        <w:jc w:val="both"/>
      </w:pPr>
      <w:r>
        <w:rPr>
          <w:rFonts w:ascii="Times New Roman"/>
          <w:b w:val="false"/>
          <w:i w:val="false"/>
          <w:color w:val="000000"/>
          <w:sz w:val="28"/>
        </w:rPr>
        <w:t>
      Расчет изменения налогового потенциала по социальному налогу производится отдельно по конкретным налогоплательщикам по сведениям территориального уполномоченного органа по исполнению бюджета.</w:t>
      </w:r>
    </w:p>
    <w:bookmarkStart w:name="z36" w:id="34"/>
    <w:p>
      <w:pPr>
        <w:spacing w:after="0"/>
        <w:ind w:left="0"/>
        <w:jc w:val="both"/>
      </w:pPr>
      <w:r>
        <w:rPr>
          <w:rFonts w:ascii="Times New Roman"/>
          <w:b w:val="false"/>
          <w:i w:val="false"/>
          <w:color w:val="000000"/>
          <w:sz w:val="28"/>
        </w:rPr>
        <w:t>
      22. Прогноз по социальному налогу на плановый год рассчитывается следующими методами:</w:t>
      </w:r>
    </w:p>
    <w:bookmarkEnd w:id="3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SNп = (Dfzp * Sотч) ± Isn</w:t>
      </w:r>
    </w:p>
    <w:p>
      <w:pPr>
        <w:spacing w:after="0"/>
        <w:ind w:left="0"/>
        <w:jc w:val="both"/>
      </w:pPr>
      <w:r>
        <w:rPr>
          <w:rFonts w:ascii="Times New Roman"/>
          <w:b w:val="false"/>
          <w:i w:val="false"/>
          <w:color w:val="000000"/>
          <w:sz w:val="28"/>
        </w:rPr>
        <w:t xml:space="preserve">
      Sотч= SNотч /Dотч * 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SNп – прогноз по социальному налогу на плановый год;</w:t>
      </w:r>
    </w:p>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p>
      <w:pPr>
        <w:spacing w:after="0"/>
        <w:ind w:left="0"/>
        <w:jc w:val="both"/>
      </w:pPr>
      <w:r>
        <w:rPr>
          <w:rFonts w:ascii="Times New Roman"/>
          <w:b w:val="false"/>
          <w:i w:val="false"/>
          <w:color w:val="000000"/>
          <w:sz w:val="28"/>
        </w:rPr>
        <w:t>
      Sотч – эффективная ставка за отчетный финансовый год, %;</w:t>
      </w:r>
    </w:p>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p>
      <w:pPr>
        <w:spacing w:after="0"/>
        <w:ind w:left="0"/>
        <w:jc w:val="both"/>
      </w:pPr>
      <w:r>
        <w:rPr>
          <w:rFonts w:ascii="Times New Roman"/>
          <w:b w:val="false"/>
          <w:i w:val="false"/>
          <w:color w:val="000000"/>
          <w:sz w:val="28"/>
        </w:rPr>
        <w:t>
      Dотч – фонд заработной платы за отчетный финансовый год;</w:t>
      </w:r>
    </w:p>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p>
      <w:pPr>
        <w:spacing w:after="0"/>
        <w:ind w:left="0"/>
        <w:jc w:val="both"/>
      </w:pPr>
      <w:r>
        <w:rPr>
          <w:rFonts w:ascii="Times New Roman"/>
          <w:b w:val="false"/>
          <w:i w:val="false"/>
          <w:color w:val="000000"/>
          <w:sz w:val="28"/>
        </w:rPr>
        <w:t xml:space="preserve">
      SNп = (Ofzp * Fsn) ± Isn,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SNп – прогноз по социальному налогу на плановый год;</w:t>
      </w:r>
    </w:p>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за минусом отчислений в Государственный фонд социального страхования, %;</w:t>
      </w:r>
    </w:p>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Start w:name="z37" w:id="35"/>
    <w:p>
      <w:pPr>
        <w:spacing w:after="0"/>
        <w:ind w:left="0"/>
        <w:jc w:val="left"/>
      </w:pPr>
      <w:r>
        <w:rPr>
          <w:rFonts w:ascii="Times New Roman"/>
          <w:b/>
          <w:i w:val="false"/>
          <w:color w:val="000000"/>
        </w:rPr>
        <w:t xml:space="preserve"> Параграф 7. Налог на имущество</w:t>
      </w:r>
    </w:p>
    <w:bookmarkEnd w:id="35"/>
    <w:bookmarkStart w:name="z38" w:id="36"/>
    <w:p>
      <w:pPr>
        <w:spacing w:after="0"/>
        <w:ind w:left="0"/>
        <w:jc w:val="both"/>
      </w:pPr>
      <w:r>
        <w:rPr>
          <w:rFonts w:ascii="Times New Roman"/>
          <w:b w:val="false"/>
          <w:i w:val="false"/>
          <w:color w:val="000000"/>
          <w:sz w:val="28"/>
        </w:rPr>
        <w:t>
      23. Расчет прогнозного объема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36"/>
    <w:bookmarkStart w:name="z39" w:id="37"/>
    <w:p>
      <w:pPr>
        <w:spacing w:after="0"/>
        <w:ind w:left="0"/>
        <w:jc w:val="both"/>
      </w:pPr>
      <w:r>
        <w:rPr>
          <w:rFonts w:ascii="Times New Roman"/>
          <w:b w:val="false"/>
          <w:i w:val="false"/>
          <w:color w:val="000000"/>
          <w:sz w:val="28"/>
        </w:rPr>
        <w:t>
      24. Прогноз на плановый год по налогу на имущество рассчитывается следующими методами:</w:t>
      </w:r>
    </w:p>
    <w:bookmarkEnd w:id="3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NIп = NIоц * (100% + Iп), где:</w:t>
      </w:r>
    </w:p>
    <w:p>
      <w:pPr>
        <w:spacing w:after="0"/>
        <w:ind w:left="0"/>
        <w:jc w:val="both"/>
      </w:pPr>
      <w:r>
        <w:rPr>
          <w:rFonts w:ascii="Times New Roman"/>
          <w:b w:val="false"/>
          <w:i w:val="false"/>
          <w:color w:val="000000"/>
          <w:sz w:val="28"/>
        </w:rPr>
        <w:t>
      NIп – прогноз по налогу на имущество на плановый год;</w:t>
      </w:r>
    </w:p>
    <w:p>
      <w:pPr>
        <w:spacing w:after="0"/>
        <w:ind w:left="0"/>
        <w:jc w:val="both"/>
      </w:pPr>
      <w:r>
        <w:rPr>
          <w:rFonts w:ascii="Times New Roman"/>
          <w:b w:val="false"/>
          <w:i w:val="false"/>
          <w:color w:val="000000"/>
          <w:sz w:val="28"/>
        </w:rPr>
        <w:t>
      NIоц – оценка налогового потенциала налога на имущество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2) усредненный расчет,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NIп = NIоц * Тp, где:</w:t>
      </w:r>
    </w:p>
    <w:p>
      <w:pPr>
        <w:spacing w:after="0"/>
        <w:ind w:left="0"/>
        <w:jc w:val="both"/>
      </w:pPr>
      <w:r>
        <w:rPr>
          <w:rFonts w:ascii="Times New Roman"/>
          <w:b w:val="false"/>
          <w:i w:val="false"/>
          <w:color w:val="000000"/>
          <w:sz w:val="28"/>
        </w:rPr>
        <w:t>
      NIп – прогноз по налогу на имущество на плановый год;</w:t>
      </w:r>
    </w:p>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Start w:name="z40" w:id="38"/>
    <w:p>
      <w:pPr>
        <w:spacing w:after="0"/>
        <w:ind w:left="0"/>
        <w:jc w:val="both"/>
      </w:pPr>
      <w:r>
        <w:rPr>
          <w:rFonts w:ascii="Times New Roman"/>
          <w:b w:val="false"/>
          <w:i w:val="false"/>
          <w:color w:val="000000"/>
          <w:sz w:val="28"/>
        </w:rPr>
        <w:t>
      25. При определении оценки налогового потенциала по налогу на имущество с физических лиц по текущему финансовому году, в расчетах по сведениям территориального-уполномоченного органа по исполнению бюджета учитываются недоимка и переплата по состоянию на 1 января текущего финансового года.</w:t>
      </w:r>
    </w:p>
    <w:bookmarkEnd w:id="38"/>
    <w:p>
      <w:pPr>
        <w:spacing w:after="0"/>
        <w:ind w:left="0"/>
        <w:jc w:val="both"/>
      </w:pPr>
      <w:r>
        <w:rPr>
          <w:rFonts w:ascii="Times New Roman"/>
          <w:b w:val="false"/>
          <w:i w:val="false"/>
          <w:color w:val="000000"/>
          <w:sz w:val="28"/>
        </w:rPr>
        <w:t>
      Также, учитывается представленные показатели в статистическом сборнике "Основные фонды Туркестанской области", характеризующие наличие основных средств, их структуру, динамику состояния основных средств, их обновление и ликвидацию, наличие и структуру нематериальных активов.</w:t>
      </w:r>
    </w:p>
    <w:bookmarkStart w:name="z41" w:id="39"/>
    <w:p>
      <w:pPr>
        <w:spacing w:after="0"/>
        <w:ind w:left="0"/>
        <w:jc w:val="left"/>
      </w:pPr>
      <w:r>
        <w:rPr>
          <w:rFonts w:ascii="Times New Roman"/>
          <w:b/>
          <w:i w:val="false"/>
          <w:color w:val="000000"/>
        </w:rPr>
        <w:t xml:space="preserve"> Параграф 8. Земельный налог</w:t>
      </w:r>
    </w:p>
    <w:bookmarkEnd w:id="39"/>
    <w:bookmarkStart w:name="z42" w:id="40"/>
    <w:p>
      <w:pPr>
        <w:spacing w:after="0"/>
        <w:ind w:left="0"/>
        <w:jc w:val="both"/>
      </w:pPr>
      <w:r>
        <w:rPr>
          <w:rFonts w:ascii="Times New Roman"/>
          <w:b w:val="false"/>
          <w:i w:val="false"/>
          <w:color w:val="000000"/>
          <w:sz w:val="28"/>
        </w:rPr>
        <w:t>
      26. Прогноз по земельному налогу на плановый год рассчитывается усредненным расчетом, осуществляемый на основании усредненного темпа роста годовых объемов доходов не менее чем за три года, по следующей формуле:</w:t>
      </w:r>
    </w:p>
    <w:bookmarkEnd w:id="40"/>
    <w:p>
      <w:pPr>
        <w:spacing w:after="0"/>
        <w:ind w:left="0"/>
        <w:jc w:val="both"/>
      </w:pPr>
      <w:r>
        <w:rPr>
          <w:rFonts w:ascii="Times New Roman"/>
          <w:b w:val="false"/>
          <w:i w:val="false"/>
          <w:color w:val="000000"/>
          <w:sz w:val="28"/>
        </w:rPr>
        <w:t>
      NIп = NIоц * Тp, где:</w:t>
      </w:r>
    </w:p>
    <w:p>
      <w:pPr>
        <w:spacing w:after="0"/>
        <w:ind w:left="0"/>
        <w:jc w:val="both"/>
      </w:pPr>
      <w:r>
        <w:rPr>
          <w:rFonts w:ascii="Times New Roman"/>
          <w:b w:val="false"/>
          <w:i w:val="false"/>
          <w:color w:val="000000"/>
          <w:sz w:val="28"/>
        </w:rPr>
        <w:t>
      NIп – прогноз по земельному налогу на плановый год;</w:t>
      </w:r>
    </w:p>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Start w:name="z43" w:id="41"/>
    <w:p>
      <w:pPr>
        <w:spacing w:after="0"/>
        <w:ind w:left="0"/>
        <w:jc w:val="left"/>
      </w:pPr>
      <w:r>
        <w:rPr>
          <w:rFonts w:ascii="Times New Roman"/>
          <w:b/>
          <w:i w:val="false"/>
          <w:color w:val="000000"/>
        </w:rPr>
        <w:t xml:space="preserve"> Параграф 9. Налог на транспортные средства</w:t>
      </w:r>
    </w:p>
    <w:bookmarkEnd w:id="41"/>
    <w:bookmarkStart w:name="z44" w:id="42"/>
    <w:p>
      <w:pPr>
        <w:spacing w:after="0"/>
        <w:ind w:left="0"/>
        <w:jc w:val="both"/>
      </w:pPr>
      <w:r>
        <w:rPr>
          <w:rFonts w:ascii="Times New Roman"/>
          <w:b w:val="false"/>
          <w:i w:val="false"/>
          <w:color w:val="000000"/>
          <w:sz w:val="28"/>
        </w:rPr>
        <w:t>
      27. Расчет прогнозного объема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42"/>
    <w:bookmarkStart w:name="z45" w:id="43"/>
    <w:p>
      <w:pPr>
        <w:spacing w:after="0"/>
        <w:ind w:left="0"/>
        <w:jc w:val="both"/>
      </w:pPr>
      <w:r>
        <w:rPr>
          <w:rFonts w:ascii="Times New Roman"/>
          <w:b w:val="false"/>
          <w:i w:val="false"/>
          <w:color w:val="000000"/>
          <w:sz w:val="28"/>
        </w:rPr>
        <w:t>
      28. Прогноз на плановый год по налогу на транспортные средства рассчитывается следующими методами:</w:t>
      </w:r>
    </w:p>
    <w:bookmarkEnd w:id="43"/>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NTп = NTоц * (100% + Iп),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2) усредненный расчет,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NTп = NТоц * Тp,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Start w:name="z46" w:id="44"/>
    <w:p>
      <w:pPr>
        <w:spacing w:after="0"/>
        <w:ind w:left="0"/>
        <w:jc w:val="both"/>
      </w:pPr>
      <w:r>
        <w:rPr>
          <w:rFonts w:ascii="Times New Roman"/>
          <w:b w:val="false"/>
          <w:i w:val="false"/>
          <w:color w:val="000000"/>
          <w:sz w:val="28"/>
        </w:rPr>
        <w:t>
      29.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4"/>
    <w:bookmarkStart w:name="z47" w:id="45"/>
    <w:p>
      <w:pPr>
        <w:spacing w:after="0"/>
        <w:ind w:left="0"/>
        <w:jc w:val="left"/>
      </w:pPr>
      <w:r>
        <w:rPr>
          <w:rFonts w:ascii="Times New Roman"/>
          <w:b/>
          <w:i w:val="false"/>
          <w:color w:val="000000"/>
        </w:rPr>
        <w:t xml:space="preserve"> Параграф 10. Единый земельный налог</w:t>
      </w:r>
    </w:p>
    <w:bookmarkEnd w:id="45"/>
    <w:bookmarkStart w:name="z48" w:id="46"/>
    <w:p>
      <w:pPr>
        <w:spacing w:after="0"/>
        <w:ind w:left="0"/>
        <w:jc w:val="both"/>
      </w:pPr>
      <w:r>
        <w:rPr>
          <w:rFonts w:ascii="Times New Roman"/>
          <w:b w:val="false"/>
          <w:i w:val="false"/>
          <w:color w:val="000000"/>
          <w:sz w:val="28"/>
        </w:rPr>
        <w:t>
      30. Прогноз по единому земельному налогу рассчитывается по следующей формуле:</w:t>
      </w:r>
    </w:p>
    <w:bookmarkEnd w:id="46"/>
    <w:p>
      <w:pPr>
        <w:spacing w:after="0"/>
        <w:ind w:left="0"/>
        <w:jc w:val="both"/>
      </w:pPr>
      <w:r>
        <w:rPr>
          <w:rFonts w:ascii="Times New Roman"/>
          <w:b w:val="false"/>
          <w:i w:val="false"/>
          <w:color w:val="000000"/>
          <w:sz w:val="28"/>
        </w:rPr>
        <w:t>
      EZп =EZоц * (100% + Iп), где:</w:t>
      </w:r>
    </w:p>
    <w:p>
      <w:pPr>
        <w:spacing w:after="0"/>
        <w:ind w:left="0"/>
        <w:jc w:val="both"/>
      </w:pPr>
      <w:r>
        <w:rPr>
          <w:rFonts w:ascii="Times New Roman"/>
          <w:b w:val="false"/>
          <w:i w:val="false"/>
          <w:color w:val="000000"/>
          <w:sz w:val="28"/>
        </w:rPr>
        <w:t>
      EZп – прогноз по единому земельному налогу на плановый год;</w:t>
      </w:r>
    </w:p>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49" w:id="47"/>
    <w:p>
      <w:pPr>
        <w:spacing w:after="0"/>
        <w:ind w:left="0"/>
        <w:jc w:val="left"/>
      </w:pPr>
      <w:r>
        <w:rPr>
          <w:rFonts w:ascii="Times New Roman"/>
          <w:b/>
          <w:i w:val="false"/>
          <w:color w:val="000000"/>
        </w:rPr>
        <w:t xml:space="preserve"> Параграф 11. Акцизы на товары, производимые в Республике Казахстан</w:t>
      </w:r>
    </w:p>
    <w:bookmarkEnd w:id="47"/>
    <w:bookmarkStart w:name="z50" w:id="48"/>
    <w:p>
      <w:pPr>
        <w:spacing w:after="0"/>
        <w:ind w:left="0"/>
        <w:jc w:val="both"/>
      </w:pPr>
      <w:r>
        <w:rPr>
          <w:rFonts w:ascii="Times New Roman"/>
          <w:b w:val="false"/>
          <w:i w:val="false"/>
          <w:color w:val="000000"/>
          <w:sz w:val="28"/>
        </w:rPr>
        <w:t>
      31.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48"/>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p>
      <w:pPr>
        <w:spacing w:after="0"/>
        <w:ind w:left="0"/>
        <w:jc w:val="both"/>
      </w:pPr>
      <w:r>
        <w:rPr>
          <w:rFonts w:ascii="Times New Roman"/>
          <w:b w:val="false"/>
          <w:i w:val="false"/>
          <w:color w:val="000000"/>
          <w:sz w:val="28"/>
        </w:rPr>
        <w:t>
      Aп = Vп * S, где:</w:t>
      </w:r>
    </w:p>
    <w:p>
      <w:pPr>
        <w:spacing w:after="0"/>
        <w:ind w:left="0"/>
        <w:jc w:val="both"/>
      </w:pPr>
      <w:r>
        <w:rPr>
          <w:rFonts w:ascii="Times New Roman"/>
          <w:b w:val="false"/>
          <w:i w:val="false"/>
          <w:color w:val="000000"/>
          <w:sz w:val="28"/>
        </w:rPr>
        <w:t>
      Aп – прогноз по акцизам на плановый год;</w:t>
      </w:r>
    </w:p>
    <w:p>
      <w:pPr>
        <w:spacing w:after="0"/>
        <w:ind w:left="0"/>
        <w:jc w:val="both"/>
      </w:pPr>
      <w:r>
        <w:rPr>
          <w:rFonts w:ascii="Times New Roman"/>
          <w:b w:val="false"/>
          <w:i w:val="false"/>
          <w:color w:val="000000"/>
          <w:sz w:val="28"/>
        </w:rPr>
        <w:t>
      Vп – прогнозируемый объем производства подакцизной продукции;</w:t>
      </w:r>
    </w:p>
    <w:p>
      <w:pPr>
        <w:spacing w:after="0"/>
        <w:ind w:left="0"/>
        <w:jc w:val="both"/>
      </w:pPr>
      <w:r>
        <w:rPr>
          <w:rFonts w:ascii="Times New Roman"/>
          <w:b w:val="false"/>
          <w:i w:val="false"/>
          <w:color w:val="000000"/>
          <w:sz w:val="28"/>
        </w:rPr>
        <w:t xml:space="preserve">
      S – ставка акциза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где:</w:t>
      </w:r>
    </w:p>
    <w:p>
      <w:pPr>
        <w:spacing w:after="0"/>
        <w:ind w:left="0"/>
        <w:jc w:val="both"/>
      </w:pPr>
      <w:r>
        <w:rPr>
          <w:rFonts w:ascii="Times New Roman"/>
          <w:b w:val="false"/>
          <w:i w:val="false"/>
          <w:color w:val="000000"/>
          <w:sz w:val="28"/>
        </w:rPr>
        <w:t>
      Vп = Vоц * Тр,</w:t>
      </w:r>
    </w:p>
    <w:p>
      <w:pPr>
        <w:spacing w:after="0"/>
        <w:ind w:left="0"/>
        <w:jc w:val="both"/>
      </w:pPr>
      <w:r>
        <w:rPr>
          <w:rFonts w:ascii="Times New Roman"/>
          <w:b w:val="false"/>
          <w:i w:val="false"/>
          <w:color w:val="000000"/>
          <w:sz w:val="28"/>
        </w:rPr>
        <w:t>
      Vп – прогнозируемый объем производства подакцизной продукции;</w:t>
      </w:r>
    </w:p>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p>
      <w:pPr>
        <w:spacing w:after="0"/>
        <w:ind w:left="0"/>
        <w:jc w:val="both"/>
      </w:pPr>
      <w:r>
        <w:rPr>
          <w:rFonts w:ascii="Times New Roman"/>
          <w:b w:val="false"/>
          <w:i w:val="false"/>
          <w:color w:val="000000"/>
          <w:sz w:val="28"/>
        </w:rPr>
        <w:t>
      Ап =Аоц * (100% + Iп) + Iаk, где:</w:t>
      </w:r>
    </w:p>
    <w:p>
      <w:pPr>
        <w:spacing w:after="0"/>
        <w:ind w:left="0"/>
        <w:jc w:val="both"/>
      </w:pPr>
      <w:r>
        <w:rPr>
          <w:rFonts w:ascii="Times New Roman"/>
          <w:b w:val="false"/>
          <w:i w:val="false"/>
          <w:color w:val="000000"/>
          <w:sz w:val="28"/>
        </w:rPr>
        <w:t>
      Aп – прогноз по акцизам на плановый год;</w:t>
      </w:r>
    </w:p>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Start w:name="z51" w:id="49"/>
    <w:p>
      <w:pPr>
        <w:spacing w:after="0"/>
        <w:ind w:left="0"/>
        <w:jc w:val="left"/>
      </w:pPr>
      <w:r>
        <w:rPr>
          <w:rFonts w:ascii="Times New Roman"/>
          <w:b/>
          <w:i w:val="false"/>
          <w:color w:val="000000"/>
        </w:rPr>
        <w:t xml:space="preserve"> Параграф 12. Платы и сборы, зачисляемые в местный бюджет</w:t>
      </w:r>
    </w:p>
    <w:bookmarkEnd w:id="49"/>
    <w:bookmarkStart w:name="z52" w:id="50"/>
    <w:p>
      <w:pPr>
        <w:spacing w:after="0"/>
        <w:ind w:left="0"/>
        <w:jc w:val="both"/>
      </w:pPr>
      <w:r>
        <w:rPr>
          <w:rFonts w:ascii="Times New Roman"/>
          <w:b w:val="false"/>
          <w:i w:val="false"/>
          <w:color w:val="000000"/>
          <w:sz w:val="28"/>
        </w:rPr>
        <w:t xml:space="preserve">
      32.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52-1</w:t>
      </w:r>
      <w:r>
        <w:rPr>
          <w:rFonts w:ascii="Times New Roman"/>
          <w:b w:val="false"/>
          <w:i w:val="false"/>
          <w:color w:val="000000"/>
          <w:sz w:val="28"/>
        </w:rPr>
        <w:t xml:space="preserve"> Бюджетного кодекса к платам и сборам, зачисляемым в местные бюджеты относятся:</w:t>
      </w:r>
    </w:p>
    <w:bookmarkEnd w:id="50"/>
    <w:p>
      <w:pPr>
        <w:spacing w:after="0"/>
        <w:ind w:left="0"/>
        <w:jc w:val="both"/>
      </w:pPr>
      <w:r>
        <w:rPr>
          <w:rFonts w:ascii="Times New Roman"/>
          <w:b w:val="false"/>
          <w:i w:val="false"/>
          <w:color w:val="000000"/>
          <w:sz w:val="28"/>
        </w:rPr>
        <w:t>
      плата за негативное воздействие на окружающую среду;</w:t>
      </w:r>
    </w:p>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p>
      <w:pPr>
        <w:spacing w:after="0"/>
        <w:ind w:left="0"/>
        <w:jc w:val="both"/>
      </w:pPr>
      <w:r>
        <w:rPr>
          <w:rFonts w:ascii="Times New Roman"/>
          <w:b w:val="false"/>
          <w:i w:val="false"/>
          <w:color w:val="000000"/>
          <w:sz w:val="28"/>
        </w:rPr>
        <w:t>
      плата за лесные пользования;</w:t>
      </w:r>
    </w:p>
    <w:p>
      <w:pPr>
        <w:spacing w:after="0"/>
        <w:ind w:left="0"/>
        <w:jc w:val="both"/>
      </w:pPr>
      <w:r>
        <w:rPr>
          <w:rFonts w:ascii="Times New Roman"/>
          <w:b w:val="false"/>
          <w:i w:val="false"/>
          <w:color w:val="000000"/>
          <w:sz w:val="28"/>
        </w:rPr>
        <w:t>
      сбор за выдачу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(сбор за выдачу лицензий на занятие отдельными видами деятельности);</w:t>
      </w:r>
    </w:p>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p>
      <w:pPr>
        <w:spacing w:after="0"/>
        <w:ind w:left="0"/>
        <w:jc w:val="both"/>
      </w:pPr>
      <w:r>
        <w:rPr>
          <w:rFonts w:ascii="Times New Roman"/>
          <w:b w:val="false"/>
          <w:i w:val="false"/>
          <w:color w:val="000000"/>
          <w:sz w:val="28"/>
        </w:rPr>
        <w:t>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p>
      <w:pPr>
        <w:spacing w:after="0"/>
        <w:ind w:left="0"/>
        <w:jc w:val="both"/>
      </w:pPr>
      <w:r>
        <w:rPr>
          <w:rFonts w:ascii="Times New Roman"/>
          <w:b w:val="false"/>
          <w:i w:val="false"/>
          <w:color w:val="000000"/>
          <w:sz w:val="28"/>
        </w:rPr>
        <w:t xml:space="preserve">
      плата за размещение наружной (визуальной) рекламы: </w:t>
      </w:r>
    </w:p>
    <w:p>
      <w:pPr>
        <w:spacing w:after="0"/>
        <w:ind w:left="0"/>
        <w:jc w:val="both"/>
      </w:pPr>
      <w:r>
        <w:rPr>
          <w:rFonts w:ascii="Times New Roman"/>
          <w:b w:val="false"/>
          <w:i w:val="false"/>
          <w:color w:val="000000"/>
          <w:sz w:val="28"/>
        </w:rPr>
        <w:t>
      -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xml:space="preserve">
      - в полосе отвода автомобильных дорог общего пользования, проходящих через территории города районного значения, села, поселка, сельского округа; </w:t>
      </w:r>
    </w:p>
    <w:p>
      <w:pPr>
        <w:spacing w:after="0"/>
        <w:ind w:left="0"/>
        <w:jc w:val="both"/>
      </w:pPr>
      <w:r>
        <w:rPr>
          <w:rFonts w:ascii="Times New Roman"/>
          <w:b w:val="false"/>
          <w:i w:val="false"/>
          <w:color w:val="000000"/>
          <w:sz w:val="28"/>
        </w:rPr>
        <w:t>
      - на открытом пространстве за пределами помещений вне населенных пунктов и вне полосы отвода автомобильных дорог общего пользования.</w:t>
      </w:r>
    </w:p>
    <w:bookmarkStart w:name="z53" w:id="51"/>
    <w:p>
      <w:pPr>
        <w:spacing w:after="0"/>
        <w:ind w:left="0"/>
        <w:jc w:val="both"/>
      </w:pPr>
      <w:r>
        <w:rPr>
          <w:rFonts w:ascii="Times New Roman"/>
          <w:b w:val="false"/>
          <w:i w:val="false"/>
          <w:color w:val="000000"/>
          <w:sz w:val="28"/>
        </w:rPr>
        <w:t>
      33. Прогноз по платам и сборам, зачисляемым в местный бюджет, осуществляется путем индексации налогового потенциала по текущему финансовому году на уровень инфляции по формуле:</w:t>
      </w:r>
    </w:p>
    <w:bookmarkEnd w:id="51"/>
    <w:p>
      <w:pPr>
        <w:spacing w:after="0"/>
        <w:ind w:left="0"/>
        <w:jc w:val="both"/>
      </w:pPr>
      <w:r>
        <w:rPr>
          <w:rFonts w:ascii="Times New Roman"/>
          <w:b w:val="false"/>
          <w:i w:val="false"/>
          <w:color w:val="000000"/>
          <w:sz w:val="28"/>
        </w:rPr>
        <w:t>
      SPп =SPоц * (100% + Iп), где:</w:t>
      </w:r>
    </w:p>
    <w:p>
      <w:pPr>
        <w:spacing w:after="0"/>
        <w:ind w:left="0"/>
        <w:jc w:val="both"/>
      </w:pPr>
      <w:r>
        <w:rPr>
          <w:rFonts w:ascii="Times New Roman"/>
          <w:b w:val="false"/>
          <w:i w:val="false"/>
          <w:color w:val="000000"/>
          <w:sz w:val="28"/>
        </w:rPr>
        <w:t>
      SPп – прогноз плат и сборов на плановый год;</w:t>
      </w:r>
    </w:p>
    <w:p>
      <w:pPr>
        <w:spacing w:after="0"/>
        <w:ind w:left="0"/>
        <w:jc w:val="both"/>
      </w:pPr>
      <w:r>
        <w:rPr>
          <w:rFonts w:ascii="Times New Roman"/>
          <w:b w:val="false"/>
          <w:i w:val="false"/>
          <w:color w:val="000000"/>
          <w:sz w:val="28"/>
        </w:rPr>
        <w:t>
      SPоц – оценка налогового потенциала плат и сборов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54" w:id="52"/>
    <w:p>
      <w:pPr>
        <w:spacing w:after="0"/>
        <w:ind w:left="0"/>
        <w:jc w:val="left"/>
      </w:pPr>
      <w:r>
        <w:rPr>
          <w:rFonts w:ascii="Times New Roman"/>
          <w:b/>
          <w:i w:val="false"/>
          <w:color w:val="000000"/>
        </w:rPr>
        <w:t xml:space="preserve"> Параграф 13. Государственная пошлина, зачисляемая в местный бюджет</w:t>
      </w:r>
    </w:p>
    <w:bookmarkEnd w:id="52"/>
    <w:bookmarkStart w:name="z55" w:id="53"/>
    <w:p>
      <w:pPr>
        <w:spacing w:after="0"/>
        <w:ind w:left="0"/>
        <w:jc w:val="both"/>
      </w:pPr>
      <w:r>
        <w:rPr>
          <w:rFonts w:ascii="Times New Roman"/>
          <w:b w:val="false"/>
          <w:i w:val="false"/>
          <w:color w:val="000000"/>
          <w:sz w:val="28"/>
        </w:rPr>
        <w:t>
      34. Расчет прогноза по государственной пошлине, зачисляемой в местный бюджет на плановый год, осуществляется следующими методами:</w:t>
      </w:r>
    </w:p>
    <w:bookmarkEnd w:id="53"/>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p>
      <w:pPr>
        <w:spacing w:after="0"/>
        <w:ind w:left="0"/>
        <w:jc w:val="both"/>
      </w:pPr>
      <w:r>
        <w:rPr>
          <w:rFonts w:ascii="Times New Roman"/>
          <w:b w:val="false"/>
          <w:i w:val="false"/>
          <w:color w:val="000000"/>
          <w:sz w:val="28"/>
        </w:rPr>
        <w:t>
      GPп = GPоц * Trсрд, где:</w:t>
      </w:r>
    </w:p>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p>
      <w:pPr>
        <w:spacing w:after="0"/>
        <w:ind w:left="0"/>
        <w:jc w:val="both"/>
      </w:pPr>
      <w:r>
        <w:rPr>
          <w:rFonts w:ascii="Times New Roman"/>
          <w:b w:val="false"/>
          <w:i w:val="false"/>
          <w:color w:val="000000"/>
          <w:sz w:val="28"/>
        </w:rPr>
        <w:t>
      Trсрд – средний темп роста за три года, %;</w:t>
      </w:r>
    </w:p>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p>
      <w:pPr>
        <w:spacing w:after="0"/>
        <w:ind w:left="0"/>
        <w:jc w:val="both"/>
      </w:pPr>
      <w:r>
        <w:rPr>
          <w:rFonts w:ascii="Times New Roman"/>
          <w:b w:val="false"/>
          <w:i w:val="false"/>
          <w:color w:val="000000"/>
          <w:sz w:val="28"/>
        </w:rPr>
        <w:t>
      GPп = GPоц * (100% + Iп), где:</w:t>
      </w:r>
    </w:p>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56" w:id="54"/>
    <w:p>
      <w:pPr>
        <w:spacing w:after="0"/>
        <w:ind w:left="0"/>
        <w:jc w:val="left"/>
      </w:pPr>
      <w:r>
        <w:rPr>
          <w:rFonts w:ascii="Times New Roman"/>
          <w:b/>
          <w:i w:val="false"/>
          <w:color w:val="000000"/>
        </w:rPr>
        <w:t xml:space="preserve"> Параграф 14. Прочие налоги</w:t>
      </w:r>
    </w:p>
    <w:bookmarkEnd w:id="54"/>
    <w:bookmarkStart w:name="z57" w:id="55"/>
    <w:p>
      <w:pPr>
        <w:spacing w:after="0"/>
        <w:ind w:left="0"/>
        <w:jc w:val="both"/>
      </w:pPr>
      <w:r>
        <w:rPr>
          <w:rFonts w:ascii="Times New Roman"/>
          <w:b w:val="false"/>
          <w:i w:val="false"/>
          <w:color w:val="000000"/>
          <w:sz w:val="28"/>
        </w:rPr>
        <w:t>
      35. Расчет прогноза по прочим налогам на плановый год осуществляется по динамике поступлений прочих налогов.</w:t>
      </w:r>
    </w:p>
    <w:bookmarkEnd w:id="55"/>
    <w:bookmarkStart w:name="z58" w:id="56"/>
    <w:p>
      <w:pPr>
        <w:spacing w:after="0"/>
        <w:ind w:left="0"/>
        <w:jc w:val="left"/>
      </w:pPr>
      <w:r>
        <w:rPr>
          <w:rFonts w:ascii="Times New Roman"/>
          <w:b/>
          <w:i w:val="false"/>
          <w:color w:val="000000"/>
        </w:rPr>
        <w:t xml:space="preserve"> Параграф 15. Неналоговые поступления</w:t>
      </w:r>
    </w:p>
    <w:bookmarkEnd w:id="56"/>
    <w:bookmarkStart w:name="z59" w:id="57"/>
    <w:p>
      <w:pPr>
        <w:spacing w:after="0"/>
        <w:ind w:left="0"/>
        <w:jc w:val="both"/>
      </w:pPr>
      <w:r>
        <w:rPr>
          <w:rFonts w:ascii="Times New Roman"/>
          <w:b w:val="false"/>
          <w:i w:val="false"/>
          <w:color w:val="000000"/>
          <w:sz w:val="28"/>
        </w:rPr>
        <w:t>
      36.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 по отдельным спецификам ЕБК.</w:t>
      </w:r>
    </w:p>
    <w:bookmarkEnd w:id="57"/>
    <w:bookmarkStart w:name="z60" w:id="58"/>
    <w:p>
      <w:pPr>
        <w:spacing w:after="0"/>
        <w:ind w:left="0"/>
        <w:jc w:val="both"/>
      </w:pPr>
      <w:r>
        <w:rPr>
          <w:rFonts w:ascii="Times New Roman"/>
          <w:b w:val="false"/>
          <w:i w:val="false"/>
          <w:color w:val="000000"/>
          <w:sz w:val="28"/>
        </w:rPr>
        <w:t>
      37.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областного бюджета или бюджетов районного (городов областного значения) взысканий по бюджетным кредитам (займам), выданным из бюджета, не осуществляется.</w:t>
      </w:r>
    </w:p>
    <w:bookmarkEnd w:id="58"/>
    <w:bookmarkStart w:name="z61" w:id="59"/>
    <w:p>
      <w:pPr>
        <w:spacing w:after="0"/>
        <w:ind w:left="0"/>
        <w:jc w:val="left"/>
      </w:pPr>
      <w:r>
        <w:rPr>
          <w:rFonts w:ascii="Times New Roman"/>
          <w:b/>
          <w:i w:val="false"/>
          <w:color w:val="000000"/>
        </w:rPr>
        <w:t xml:space="preserve"> Параграф 16. Поступления от продажи основного капитала</w:t>
      </w:r>
    </w:p>
    <w:bookmarkEnd w:id="59"/>
    <w:bookmarkStart w:name="z62" w:id="60"/>
    <w:p>
      <w:pPr>
        <w:spacing w:after="0"/>
        <w:ind w:left="0"/>
        <w:jc w:val="both"/>
      </w:pPr>
      <w:r>
        <w:rPr>
          <w:rFonts w:ascii="Times New Roman"/>
          <w:b w:val="false"/>
          <w:i w:val="false"/>
          <w:color w:val="000000"/>
          <w:sz w:val="28"/>
        </w:rPr>
        <w:t>
      38.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