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0481" w14:textId="b910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19 августа 2022 года № 179-VII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животными",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на территории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179-VII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на территории Атырауской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на территории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ответственном обращении с животными"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(зарегистрированное в Министерстве юстиции Республики Казахстан 19 мая 2022 года № 28125) и определяют порядок отлова, временного содержания и умерщвления животных (собак и кошек).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 – 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приложению к настоящим Правилам, которые предоставляются по требованию граждан.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приложению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 перевозки животных.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умерщвления животных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(6)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