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c18" w14:textId="ac1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19 августа 2022 года № 178-VII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животными",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на территории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Атырауской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на территории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(зарегистрированное в Министерстве юстиции Республики Казахстан 20 мая 2022 года № 28138) и определяют порядок содержания и выгула домашних животных.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решением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установленным местным представительным органом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решением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