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469c" w14:textId="f104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Тайыншинскому району Северо-Казахстанской области на 2022 - 2023 годы</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3 февраля 2022 года № 138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 пастбищах" и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маслихат Тайышинского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Утвердить прилагаемый План по управлению пастбищами и их использованию по Тайыншинскому району Северо-Казахстанской области на 2022 – 2023 годы.</w:t>
      </w:r>
    </w:p>
    <w:bookmarkEnd w:id="1"/>
    <w:bookmarkStart w:name="z6"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20"/>
              <w:ind w:left="20"/>
              <w:jc w:val="both"/>
            </w:pPr>
            <w:r>
              <w:rPr>
                <w:rFonts w:ascii="Times New Roman"/>
                <w:b w:val="false"/>
                <w:i/>
                <w:color w:val="000000"/>
                <w:sz w:val="20"/>
              </w:rPr>
              <w:t>Тайыншинского района</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февраля 2022 года № 138</w:t>
            </w:r>
          </w:p>
        </w:tc>
      </w:tr>
    </w:tbl>
    <w:bookmarkStart w:name="z13" w:id="3"/>
    <w:p>
      <w:pPr>
        <w:spacing w:after="0"/>
        <w:ind w:left="0"/>
        <w:jc w:val="left"/>
      </w:pPr>
      <w:r>
        <w:rPr>
          <w:rFonts w:ascii="Times New Roman"/>
          <w:b/>
          <w:i w:val="false"/>
          <w:color w:val="000000"/>
        </w:rPr>
        <w:t xml:space="preserve"> План по управлению пастбищами и их использованию по Тайыншинскому району Северо-Казахстанской области на 2022 - 2023 годы</w:t>
      </w:r>
    </w:p>
    <w:bookmarkEnd w:id="3"/>
    <w:bookmarkStart w:name="z14" w:id="4"/>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по Тайыншинскому району Северо-Казахстанской области на 2022-2023 годы (далее – план) разработан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 пастбищах",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утверждении Правил рационального использования пастбищ" (зарегистрировано в Реестре государственной регистрации нормативных правовых актов под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(зарегистрировано в Реестре государственной регистрации нормативных правовых актов под № 11064).</w:t>
      </w:r>
    </w:p>
    <w:bookmarkEnd w:id="4"/>
    <w:bookmarkStart w:name="z15"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5"/>
    <w:bookmarkStart w:name="z16" w:id="6"/>
    <w:p>
      <w:pPr>
        <w:spacing w:after="0"/>
        <w:ind w:left="0"/>
        <w:jc w:val="both"/>
      </w:pPr>
      <w:r>
        <w:rPr>
          <w:rFonts w:ascii="Times New Roman"/>
          <w:b w:val="false"/>
          <w:i w:val="false"/>
          <w:color w:val="000000"/>
          <w:sz w:val="28"/>
        </w:rPr>
        <w:t>
      В плане учтены традиции выпаса сельскохозяйственных животных на соответствующей территории административно-территориальной единице.</w:t>
      </w:r>
    </w:p>
    <w:bookmarkEnd w:id="6"/>
    <w:bookmarkStart w:name="z17" w:id="7"/>
    <w:p>
      <w:pPr>
        <w:spacing w:after="0"/>
        <w:ind w:left="0"/>
        <w:jc w:val="both"/>
      </w:pPr>
      <w:r>
        <w:rPr>
          <w:rFonts w:ascii="Times New Roman"/>
          <w:b w:val="false"/>
          <w:i w:val="false"/>
          <w:color w:val="000000"/>
          <w:sz w:val="28"/>
        </w:rPr>
        <w:t>
      План содержит:</w:t>
      </w:r>
    </w:p>
    <w:bookmarkEnd w:id="7"/>
    <w:bookmarkStart w:name="z18" w:id="8"/>
    <w:p>
      <w:pPr>
        <w:spacing w:after="0"/>
        <w:ind w:left="0"/>
        <w:jc w:val="both"/>
      </w:pPr>
      <w:r>
        <w:rPr>
          <w:rFonts w:ascii="Times New Roman"/>
          <w:b w:val="false"/>
          <w:i w:val="false"/>
          <w:color w:val="000000"/>
          <w:sz w:val="28"/>
        </w:rPr>
        <w:t xml:space="preserve">
      1) схему (карту)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bookmarkEnd w:id="8"/>
    <w:bookmarkStart w:name="z19" w:id="9"/>
    <w:p>
      <w:pPr>
        <w:spacing w:after="0"/>
        <w:ind w:left="0"/>
        <w:jc w:val="both"/>
      </w:pPr>
      <w:r>
        <w:rPr>
          <w:rFonts w:ascii="Times New Roman"/>
          <w:b w:val="false"/>
          <w:i w:val="false"/>
          <w:color w:val="000000"/>
          <w:sz w:val="28"/>
        </w:rPr>
        <w:t xml:space="preserve">
      2) приемлемые схемы пастбище оборотов,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bookmarkEnd w:id="9"/>
    <w:bookmarkStart w:name="z20" w:id="10"/>
    <w:p>
      <w:pPr>
        <w:spacing w:after="0"/>
        <w:ind w:left="0"/>
        <w:jc w:val="both"/>
      </w:pPr>
      <w:r>
        <w:rPr>
          <w:rFonts w:ascii="Times New Roman"/>
          <w:b w:val="false"/>
          <w:i w:val="false"/>
          <w:color w:val="000000"/>
          <w:sz w:val="28"/>
        </w:rPr>
        <w:t xml:space="preserve">
      3) карту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bookmarkEnd w:id="10"/>
    <w:bookmarkStart w:name="z21" w:id="11"/>
    <w:p>
      <w:pPr>
        <w:spacing w:after="0"/>
        <w:ind w:left="0"/>
        <w:jc w:val="both"/>
      </w:pPr>
      <w:r>
        <w:rPr>
          <w:rFonts w:ascii="Times New Roman"/>
          <w:b w:val="false"/>
          <w:i w:val="false"/>
          <w:color w:val="000000"/>
          <w:sz w:val="28"/>
        </w:rPr>
        <w:t xml:space="preserve">
      4) схему доступа пастбище 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bookmarkEnd w:id="11"/>
    <w:bookmarkStart w:name="z22" w:id="12"/>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bookmarkEnd w:id="12"/>
    <w:bookmarkStart w:name="z23" w:id="13"/>
    <w:p>
      <w:pPr>
        <w:spacing w:after="0"/>
        <w:ind w:left="0"/>
        <w:jc w:val="both"/>
      </w:pPr>
      <w:r>
        <w:rPr>
          <w:rFonts w:ascii="Times New Roman"/>
          <w:b w:val="false"/>
          <w:i w:val="false"/>
          <w:color w:val="000000"/>
          <w:sz w:val="28"/>
        </w:rPr>
        <w:t xml:space="preserve">
      6)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6</w:t>
      </w:r>
      <w:r>
        <w:rPr>
          <w:rFonts w:ascii="Times New Roman"/>
          <w:b w:val="false"/>
          <w:i w:val="false"/>
          <w:color w:val="000000"/>
          <w:sz w:val="28"/>
        </w:rPr>
        <w:t xml:space="preserve"> к настоящему плану;</w:t>
      </w:r>
    </w:p>
    <w:bookmarkEnd w:id="13"/>
    <w:bookmarkStart w:name="z24" w:id="14"/>
    <w:p>
      <w:pPr>
        <w:spacing w:after="0"/>
        <w:ind w:left="0"/>
        <w:jc w:val="both"/>
      </w:pPr>
      <w:r>
        <w:rPr>
          <w:rFonts w:ascii="Times New Roman"/>
          <w:b w:val="false"/>
          <w:i w:val="false"/>
          <w:color w:val="000000"/>
          <w:sz w:val="28"/>
        </w:rPr>
        <w:t>
      7) иные требования, необходимые для рационального использования пастбищ на соответствующей административно-территориальной единице.</w:t>
      </w:r>
    </w:p>
    <w:bookmarkEnd w:id="14"/>
    <w:bookmarkStart w:name="z25" w:id="15"/>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5"/>
    <w:bookmarkStart w:name="z26" w:id="16"/>
    <w:p>
      <w:pPr>
        <w:spacing w:after="0"/>
        <w:ind w:left="0"/>
        <w:jc w:val="both"/>
      </w:pPr>
      <w:r>
        <w:rPr>
          <w:rFonts w:ascii="Times New Roman"/>
          <w:b w:val="false"/>
          <w:i w:val="false"/>
          <w:color w:val="000000"/>
          <w:sz w:val="28"/>
        </w:rPr>
        <w:t>
      По административно-территориальному делению в Тайыншинском районе имеются 18 сельских округов, город Тайынша, 82 сельских населенных пунктов.</w:t>
      </w:r>
    </w:p>
    <w:bookmarkEnd w:id="16"/>
    <w:bookmarkStart w:name="z27" w:id="17"/>
    <w:p>
      <w:pPr>
        <w:spacing w:after="0"/>
        <w:ind w:left="0"/>
        <w:jc w:val="both"/>
      </w:pPr>
      <w:r>
        <w:rPr>
          <w:rFonts w:ascii="Times New Roman"/>
          <w:b w:val="false"/>
          <w:i w:val="false"/>
          <w:color w:val="000000"/>
          <w:sz w:val="28"/>
        </w:rPr>
        <w:t>
      Общая площадь территории Тайыншинского района 1143404 га, из них пастбищные земли – 342514 га, в том числе пастбища: в Абайском сельском округе - 11315 га; Алаботинском сельском округе - 50281 га; Амандыкском сельском округе-50886 га; Большеизюмовском сельском округе -12791 га; Донецком сельском округе -11164 га; Драгомировском сельском округе - 9954 га; Зеленогайском сельском округе - 13038 га; Келлеровском сельском округе - 5018 га; Кировском сельском округе - 14522 га; Краснополянском сельском округе - 7694 га; Летовочном сельском округе -22163 га; Мироновском сельском округе - 11391 га, Рощинском сельском округе - 31810 га, Тендыкском сельском округе - 24566 га, Тихоокеанском сельском округе - 21202 га, Чермошнянском сельском округе - 11945 га, Чкаловском сельском округе - 24477 га, Яснополянском сельском округе - 6341 га, в городе Тайынша – 1957 га.</w:t>
      </w:r>
    </w:p>
    <w:bookmarkEnd w:id="17"/>
    <w:bookmarkStart w:name="z28" w:id="18"/>
    <w:p>
      <w:pPr>
        <w:spacing w:after="0"/>
        <w:ind w:left="0"/>
        <w:jc w:val="both"/>
      </w:pPr>
      <w:r>
        <w:rPr>
          <w:rFonts w:ascii="Times New Roman"/>
          <w:b w:val="false"/>
          <w:i w:val="false"/>
          <w:color w:val="000000"/>
          <w:sz w:val="28"/>
        </w:rPr>
        <w:t>
      По категориям земли подразделяются на:</w:t>
      </w:r>
    </w:p>
    <w:bookmarkEnd w:id="18"/>
    <w:bookmarkStart w:name="z29" w:id="19"/>
    <w:p>
      <w:pPr>
        <w:spacing w:after="0"/>
        <w:ind w:left="0"/>
        <w:jc w:val="both"/>
      </w:pPr>
      <w:r>
        <w:rPr>
          <w:rFonts w:ascii="Times New Roman"/>
          <w:b w:val="false"/>
          <w:i w:val="false"/>
          <w:color w:val="000000"/>
          <w:sz w:val="28"/>
        </w:rPr>
        <w:t>
      земли сельскохозяйственного назначения – 922871 га;</w:t>
      </w:r>
    </w:p>
    <w:bookmarkEnd w:id="19"/>
    <w:bookmarkStart w:name="z30" w:id="20"/>
    <w:p>
      <w:pPr>
        <w:spacing w:after="0"/>
        <w:ind w:left="0"/>
        <w:jc w:val="both"/>
      </w:pPr>
      <w:r>
        <w:rPr>
          <w:rFonts w:ascii="Times New Roman"/>
          <w:b w:val="false"/>
          <w:i w:val="false"/>
          <w:color w:val="000000"/>
          <w:sz w:val="28"/>
        </w:rPr>
        <w:t>
      земли населенных пунктов – 105978 га;</w:t>
      </w:r>
    </w:p>
    <w:bookmarkEnd w:id="20"/>
    <w:bookmarkStart w:name="z31" w:id="21"/>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16268 га;</w:t>
      </w:r>
    </w:p>
    <w:bookmarkEnd w:id="21"/>
    <w:bookmarkStart w:name="z32" w:id="22"/>
    <w:p>
      <w:pPr>
        <w:spacing w:after="0"/>
        <w:ind w:left="0"/>
        <w:jc w:val="both"/>
      </w:pPr>
      <w:r>
        <w:rPr>
          <w:rFonts w:ascii="Times New Roman"/>
          <w:b w:val="false"/>
          <w:i w:val="false"/>
          <w:color w:val="000000"/>
          <w:sz w:val="28"/>
        </w:rPr>
        <w:t>
      земли запаса – 78840 га.</w:t>
      </w:r>
    </w:p>
    <w:bookmarkEnd w:id="22"/>
    <w:bookmarkStart w:name="z33" w:id="23"/>
    <w:p>
      <w:pPr>
        <w:spacing w:after="0"/>
        <w:ind w:left="0"/>
        <w:jc w:val="both"/>
      </w:pPr>
      <w:r>
        <w:rPr>
          <w:rFonts w:ascii="Times New Roman"/>
          <w:b w:val="false"/>
          <w:i w:val="false"/>
          <w:color w:val="000000"/>
          <w:sz w:val="28"/>
        </w:rPr>
        <w:t>
      Климат района резко континентальный, зима сравнительно холодная, лето жаркое и засушливое. Среднегодовая температура воздуха в январе -18,5; -18,7°С, в июле +18,5;+18,7°С. Средний размер осадков составляет -42-58 мм, а годовой- 204 мм.</w:t>
      </w:r>
    </w:p>
    <w:bookmarkEnd w:id="23"/>
    <w:bookmarkStart w:name="z34" w:id="24"/>
    <w:p>
      <w:pPr>
        <w:spacing w:after="0"/>
        <w:ind w:left="0"/>
        <w:jc w:val="both"/>
      </w:pPr>
      <w:r>
        <w:rPr>
          <w:rFonts w:ascii="Times New Roman"/>
          <w:b w:val="false"/>
          <w:i w:val="false"/>
          <w:color w:val="000000"/>
          <w:sz w:val="28"/>
        </w:rPr>
        <w:t>
      Растительный покров района разнообразный, включает примерно 115 видов. Самые распространенные из них зерновые и сложноцветные травы.</w:t>
      </w:r>
    </w:p>
    <w:bookmarkEnd w:id="24"/>
    <w:bookmarkStart w:name="z35" w:id="25"/>
    <w:p>
      <w:pPr>
        <w:spacing w:after="0"/>
        <w:ind w:left="0"/>
        <w:jc w:val="both"/>
      </w:pPr>
      <w:r>
        <w:rPr>
          <w:rFonts w:ascii="Times New Roman"/>
          <w:b w:val="false"/>
          <w:i w:val="false"/>
          <w:color w:val="000000"/>
          <w:sz w:val="28"/>
        </w:rPr>
        <w:t>
      Почвы в районе зонально распределяются так, что в северной части залегают обыкновенные суглинистые черноземы, а к югу они переходят в южные черноземы с более легким составом. Среди черноземов залегают интразональные почвы – комплекс солонцов, солончаков и солонцеватых почв. Черноземные почвы района содержат от 6 до 10% гумуса.</w:t>
      </w:r>
    </w:p>
    <w:bookmarkEnd w:id="25"/>
    <w:bookmarkStart w:name="z36" w:id="26"/>
    <w:p>
      <w:pPr>
        <w:spacing w:after="0"/>
        <w:ind w:left="0"/>
        <w:jc w:val="both"/>
      </w:pPr>
      <w:r>
        <w:rPr>
          <w:rFonts w:ascii="Times New Roman"/>
          <w:b w:val="false"/>
          <w:i w:val="false"/>
          <w:color w:val="000000"/>
          <w:sz w:val="28"/>
        </w:rPr>
        <w:t>
      В районе действуют 19 ветеринарных пунктов, 1 убойный пункт, 2 мясоперерабатывающих предприятия, 13 убойных площадок, 31 скотомогильник, 4 сибиреязвенных захоронения.</w:t>
      </w:r>
    </w:p>
    <w:bookmarkEnd w:id="26"/>
    <w:bookmarkStart w:name="z37" w:id="27"/>
    <w:p>
      <w:pPr>
        <w:spacing w:after="0"/>
        <w:ind w:left="0"/>
        <w:jc w:val="both"/>
      </w:pPr>
      <w:r>
        <w:rPr>
          <w:rFonts w:ascii="Times New Roman"/>
          <w:b w:val="false"/>
          <w:i w:val="false"/>
          <w:color w:val="000000"/>
          <w:sz w:val="28"/>
        </w:rPr>
        <w:t>
      В настоящее время в Тайыншинском районе насчитывается крупного рогатого скота 56 864 голов, мелкого рогатого скота 61 745 голов, 14 126 голов лошадей, 68368 голов свиней.</w:t>
      </w:r>
    </w:p>
    <w:bookmarkEnd w:id="27"/>
    <w:bookmarkStart w:name="z38" w:id="28"/>
    <w:p>
      <w:pPr>
        <w:spacing w:after="0"/>
        <w:ind w:left="0"/>
        <w:jc w:val="both"/>
      </w:pPr>
      <w:r>
        <w:rPr>
          <w:rFonts w:ascii="Times New Roman"/>
          <w:b w:val="false"/>
          <w:i w:val="false"/>
          <w:color w:val="000000"/>
          <w:sz w:val="28"/>
        </w:rPr>
        <w:t>
      Для обеспечения сельскохозяйственных животных по Тайыншинскому району имеются всего 343180 га пастбищных угодий. В черте населенного пункта числится 86807 га пастбищ, в землях запаса имеются 40156 га пастбищных угодий.</w:t>
      </w:r>
    </w:p>
    <w:bookmarkEnd w:id="28"/>
    <w:bookmarkStart w:name="z39" w:id="29"/>
    <w:p>
      <w:pPr>
        <w:spacing w:after="0"/>
        <w:ind w:left="0"/>
        <w:jc w:val="both"/>
      </w:pPr>
      <w:r>
        <w:rPr>
          <w:rFonts w:ascii="Times New Roman"/>
          <w:b w:val="false"/>
          <w:i w:val="false"/>
          <w:color w:val="000000"/>
          <w:sz w:val="28"/>
        </w:rPr>
        <w:t>
      Площадь пастбищ Тайыншинского района полностью обеспечивает поголовье сельскохозяйственных животных. Отгонных пастбищ, используемых для ведения отгонного животноводства, нет. Тем самым сервитуты для прогона скота не требуются. Также отсутствуют на территории района аридные пастбища.</w:t>
      </w:r>
    </w:p>
    <w:bookmarkEnd w:id="29"/>
    <w:bookmarkStart w:name="z40" w:id="30"/>
    <w:p>
      <w:pPr>
        <w:spacing w:after="0"/>
        <w:ind w:left="0"/>
        <w:jc w:val="both"/>
      </w:pPr>
      <w:r>
        <w:rPr>
          <w:rFonts w:ascii="Times New Roman"/>
          <w:b w:val="false"/>
          <w:i w:val="false"/>
          <w:color w:val="000000"/>
          <w:sz w:val="28"/>
        </w:rPr>
        <w:t>
      Примечание: расшифровка аббревиатуры:</w:t>
      </w:r>
    </w:p>
    <w:bookmarkEnd w:id="30"/>
    <w:bookmarkStart w:name="z41" w:id="31"/>
    <w:p>
      <w:pPr>
        <w:spacing w:after="0"/>
        <w:ind w:left="0"/>
        <w:jc w:val="both"/>
      </w:pPr>
      <w:r>
        <w:rPr>
          <w:rFonts w:ascii="Times New Roman"/>
          <w:b w:val="false"/>
          <w:i w:val="false"/>
          <w:color w:val="000000"/>
          <w:sz w:val="28"/>
        </w:rPr>
        <w:t>
      °С – показатель Цельсия;</w:t>
      </w:r>
    </w:p>
    <w:bookmarkEnd w:id="31"/>
    <w:bookmarkStart w:name="z42" w:id="32"/>
    <w:p>
      <w:pPr>
        <w:spacing w:after="0"/>
        <w:ind w:left="0"/>
        <w:jc w:val="both"/>
      </w:pPr>
      <w:r>
        <w:rPr>
          <w:rFonts w:ascii="Times New Roman"/>
          <w:b w:val="false"/>
          <w:i w:val="false"/>
          <w:color w:val="000000"/>
          <w:sz w:val="28"/>
        </w:rPr>
        <w:t>
      га – гектар;</w:t>
      </w:r>
    </w:p>
    <w:bookmarkEnd w:id="32"/>
    <w:bookmarkStart w:name="z43" w:id="33"/>
    <w:p>
      <w:pPr>
        <w:spacing w:after="0"/>
        <w:ind w:left="0"/>
        <w:jc w:val="both"/>
      </w:pPr>
      <w:r>
        <w:rPr>
          <w:rFonts w:ascii="Times New Roman"/>
          <w:b w:val="false"/>
          <w:i w:val="false"/>
          <w:color w:val="000000"/>
          <w:sz w:val="28"/>
        </w:rPr>
        <w:t>
      мм - миллиметр;</w:t>
      </w:r>
    </w:p>
    <w:bookmarkEnd w:id="33"/>
    <w:bookmarkStart w:name="z44" w:id="34"/>
    <w:p>
      <w:pPr>
        <w:spacing w:after="0"/>
        <w:ind w:left="0"/>
        <w:jc w:val="both"/>
      </w:pPr>
      <w:r>
        <w:rPr>
          <w:rFonts w:ascii="Times New Roman"/>
          <w:b w:val="false"/>
          <w:i w:val="false"/>
          <w:color w:val="000000"/>
          <w:sz w:val="28"/>
        </w:rPr>
        <w:t>
      с/о - сельский округ.</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Тайыншинском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2022 – 2023 годы</w:t>
            </w:r>
          </w:p>
        </w:tc>
      </w:tr>
    </w:tbl>
    <w:bookmarkStart w:name="z51" w:id="35"/>
    <w:p>
      <w:pPr>
        <w:spacing w:after="0"/>
        <w:ind w:left="0"/>
        <w:jc w:val="left"/>
      </w:pPr>
      <w:r>
        <w:rPr>
          <w:rFonts w:ascii="Times New Roman"/>
          <w:b/>
          <w:i w:val="false"/>
          <w:color w:val="000000"/>
        </w:rPr>
        <w:t xml:space="preserve"> Схема (карта)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w:t>
      </w:r>
    </w:p>
    <w:bookmarkEnd w:id="35"/>
    <w:bookmarkStart w:name="z52"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Тайыншинскому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2022-2023 годы</w:t>
            </w:r>
          </w:p>
        </w:tc>
      </w:tr>
    </w:tbl>
    <w:bookmarkStart w:name="z59" w:id="37"/>
    <w:p>
      <w:pPr>
        <w:spacing w:after="0"/>
        <w:ind w:left="0"/>
        <w:jc w:val="left"/>
      </w:pPr>
      <w:r>
        <w:rPr>
          <w:rFonts w:ascii="Times New Roman"/>
          <w:b/>
          <w:i w:val="false"/>
          <w:color w:val="000000"/>
        </w:rPr>
        <w:t xml:space="preserve"> Приемлемая схема пастбищеоборотов Тайыншинского района Северо-Казахстанской области</w:t>
      </w:r>
    </w:p>
    <w:bookmarkEnd w:id="37"/>
    <w:bookmarkStart w:name="z60"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Тайыншинскому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2022-2023 годы</w:t>
            </w:r>
          </w:p>
        </w:tc>
      </w:tr>
    </w:tbl>
    <w:bookmarkStart w:name="z67" w:id="39"/>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 Тайыншинского района Северо-Казахстанской области</w:t>
      </w:r>
    </w:p>
    <w:bookmarkEnd w:id="39"/>
    <w:bookmarkStart w:name="z68"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Тайыншинскому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2022-2023 годы</w:t>
            </w:r>
          </w:p>
        </w:tc>
      </w:tr>
    </w:tbl>
    <w:bookmarkStart w:name="z75" w:id="41"/>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Тайыншинского района Северо-Казахстанской области</w:t>
      </w:r>
    </w:p>
    <w:bookmarkEnd w:id="41"/>
    <w:bookmarkStart w:name="z76"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Тайыншинскому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2022-2023 годы</w:t>
            </w:r>
          </w:p>
        </w:tc>
      </w:tr>
    </w:tbl>
    <w:bookmarkStart w:name="z83" w:id="43"/>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Тайыншинского района Северо-Казахстанской области</w:t>
      </w:r>
    </w:p>
    <w:bookmarkEnd w:id="43"/>
    <w:bookmarkStart w:name="z84"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Тайыншинскому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2022-2023 годы</w:t>
            </w:r>
          </w:p>
        </w:tc>
      </w:tr>
    </w:tbl>
    <w:bookmarkStart w:name="z91" w:id="45"/>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Амандыкский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Тендыкский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августа по 22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апреля по 24 июня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 с 25 июня по 24 августа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