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1e51" w14:textId="2ea1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марта 2022 года № 20/7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Мамлютского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опубликования, и распространяется на правоотношения, возникшие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