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b2c1" w14:textId="c55b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312 801.1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1 595.1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311 069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314 161.4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1 360,3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26.09.2023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на 2023 год формируются за счет следующих поступлений от продажи основного капитала являющийся: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республиканского бюджета в бюджет округа 282 069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средсрв, сложившихся на начало финансового года и возврата целевых трансфертов из районного, областного бюджетов, неиспользованных (недоиспользованных) в 2022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районного, областного бюджетов, неиспользованных (недоиспользованных) в 2022 году определяется решением акима Майского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29-9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26.09.2023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29-9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29-9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районного,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