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70ed" w14:textId="9c07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Успенского районного маслихата от 22 июня 2018 года № 152/31 "Об утверждении регламента собрания местного сообщества сельских округов Успенского района"</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26 мая 2022 года № 104/16</w:t>
      </w:r>
    </w:p>
    <w:p>
      <w:pPr>
        <w:spacing w:after="0"/>
        <w:ind w:left="0"/>
        <w:jc w:val="both"/>
      </w:pPr>
      <w:bookmarkStart w:name="z1" w:id="0"/>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22 июня 2018 года № 152/31 "Об утверждении регламента собрания местного сообщества сельских округов Успенского района" (зарегистрированное в Реестре государственной регистрации нормативных правовых актов под № 6011)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Успенского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Успенского района</w:t>
            </w:r>
            <w:r>
              <w:br/>
            </w:r>
            <w:r>
              <w:rPr>
                <w:rFonts w:ascii="Times New Roman"/>
                <w:b w:val="false"/>
                <w:i w:val="false"/>
                <w:color w:val="000000"/>
                <w:sz w:val="20"/>
              </w:rPr>
              <w:t xml:space="preserve">от 26 мая 2022 года </w:t>
            </w:r>
            <w:r>
              <w:br/>
            </w:r>
            <w:r>
              <w:rPr>
                <w:rFonts w:ascii="Times New Roman"/>
                <w:b w:val="false"/>
                <w:i w:val="false"/>
                <w:color w:val="000000"/>
                <w:sz w:val="20"/>
              </w:rPr>
              <w:t>№ 104/16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маслихата </w:t>
            </w:r>
            <w:r>
              <w:br/>
            </w:r>
            <w:r>
              <w:rPr>
                <w:rFonts w:ascii="Times New Roman"/>
                <w:b w:val="false"/>
                <w:i w:val="false"/>
                <w:color w:val="000000"/>
                <w:sz w:val="20"/>
              </w:rPr>
              <w:t xml:space="preserve">Успенского района </w:t>
            </w:r>
            <w:r>
              <w:br/>
            </w:r>
            <w:r>
              <w:rPr>
                <w:rFonts w:ascii="Times New Roman"/>
                <w:b w:val="false"/>
                <w:i w:val="false"/>
                <w:color w:val="000000"/>
                <w:sz w:val="20"/>
              </w:rPr>
              <w:t xml:space="preserve">от 22 июня 2018 года </w:t>
            </w:r>
            <w:r>
              <w:br/>
            </w:r>
            <w:r>
              <w:rPr>
                <w:rFonts w:ascii="Times New Roman"/>
                <w:b w:val="false"/>
                <w:i w:val="false"/>
                <w:color w:val="000000"/>
                <w:sz w:val="20"/>
              </w:rPr>
              <w:t>№ 152/31</w:t>
            </w:r>
          </w:p>
        </w:tc>
      </w:tr>
    </w:tbl>
    <w:bookmarkStart w:name="z5" w:id="2"/>
    <w:p>
      <w:pPr>
        <w:spacing w:after="0"/>
        <w:ind w:left="0"/>
        <w:jc w:val="left"/>
      </w:pPr>
      <w:r>
        <w:rPr>
          <w:rFonts w:ascii="Times New Roman"/>
          <w:b/>
          <w:i w:val="false"/>
          <w:color w:val="000000"/>
        </w:rPr>
        <w:t xml:space="preserve"> Об утверждении регламента собрания местного сообщества сельских округов Успенского района</w:t>
      </w:r>
    </w:p>
    <w:bookmarkEnd w:id="2"/>
    <w:bookmarkStart w:name="z6"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Успенского района (далее – Регламент) разработан в соответствии со статьей 39-3 Закона Республики Казахстан "О местном государственном управлении и самоуправлении в Республике Казахстан" (далее – Закон), Типовым регламентом собрания местного сообщества, утвержденного приказом Министра национальной экономики Республики Казахстан от 7 августа 2017 года № 295.</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Успенским районным маслихатом (далее – районный маслихат).</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7" w:id="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Успенскую районную территориальную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официальный сайт акимата района, средства массовой информации, социальные сети,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8" w:id="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официальный сайт акимата района, средства массовой информации, социальные сети.</w:t>
      </w:r>
    </w:p>
    <w:bookmarkStart w:name="z9" w:id="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гражданско-правовой, дисциплинарной, административной, уголовной ответственности должностных лиц перед акимом района или вышестоящим руководством соответствующих должностных лиц.</w:t>
      </w:r>
    </w:p>
    <w:p>
      <w:pPr>
        <w:spacing w:after="0"/>
        <w:ind w:left="0"/>
        <w:jc w:val="both"/>
      </w:pPr>
      <w:r>
        <w:rPr>
          <w:rFonts w:ascii="Times New Roman"/>
          <w:b w:val="false"/>
          <w:i w:val="false"/>
          <w:color w:val="000000"/>
          <w:sz w:val="28"/>
        </w:rPr>
        <w:t>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