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070ed" w14:textId="9c070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Успенского районного маслихата от 22 июня 2018 года № 152/31 "Об утверждении регламента собрания местного сообщества сельских округов Успенского района"</w:t>
      </w:r>
    </w:p>
    <w:p>
      <w:pPr>
        <w:spacing w:after="0"/>
        <w:ind w:left="0"/>
        <w:jc w:val="both"/>
      </w:pPr>
      <w:r>
        <w:rPr>
          <w:rFonts w:ascii="Times New Roman"/>
          <w:b w:val="false"/>
          <w:i w:val="false"/>
          <w:color w:val="000000"/>
          <w:sz w:val="28"/>
        </w:rPr>
        <w:t>Решение Успенского районного маслихата Павлодарской области от 26 мая 2022 года № 104/16</w:t>
      </w:r>
    </w:p>
    <w:p>
      <w:pPr>
        <w:spacing w:after="0"/>
        <w:ind w:left="0"/>
        <w:jc w:val="both"/>
      </w:pPr>
      <w:bookmarkStart w:name="z1" w:id="0"/>
      <w:r>
        <w:rPr>
          <w:rFonts w:ascii="Times New Roman"/>
          <w:b w:val="false"/>
          <w:i w:val="false"/>
          <w:color w:val="000000"/>
          <w:sz w:val="28"/>
        </w:rPr>
        <w:t>
      Успенский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Успенского районного маслихата от 22 июня 2018 года № 152/31 "Об утверждении регламента собрания местного сообщества сельских округов Успенского района" (зарегистрированное в Реестре государственной регистрации нормативных правовых актов под № 6011)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сельских округов Успенского района, утвержденный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Успенского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маслихата </w:t>
            </w:r>
            <w:r>
              <w:br/>
            </w:r>
            <w:r>
              <w:rPr>
                <w:rFonts w:ascii="Times New Roman"/>
                <w:b w:val="false"/>
                <w:i w:val="false"/>
                <w:color w:val="000000"/>
                <w:sz w:val="20"/>
              </w:rPr>
              <w:t>Успенского района</w:t>
            </w:r>
            <w:r>
              <w:br/>
            </w:r>
            <w:r>
              <w:rPr>
                <w:rFonts w:ascii="Times New Roman"/>
                <w:b w:val="false"/>
                <w:i w:val="false"/>
                <w:color w:val="000000"/>
                <w:sz w:val="20"/>
              </w:rPr>
              <w:t xml:space="preserve">от 26 мая 2022 года </w:t>
            </w:r>
            <w:r>
              <w:br/>
            </w:r>
            <w:r>
              <w:rPr>
                <w:rFonts w:ascii="Times New Roman"/>
                <w:b w:val="false"/>
                <w:i w:val="false"/>
                <w:color w:val="000000"/>
                <w:sz w:val="20"/>
              </w:rPr>
              <w:t>№ 104/16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решением маслихата </w:t>
            </w:r>
            <w:r>
              <w:br/>
            </w:r>
            <w:r>
              <w:rPr>
                <w:rFonts w:ascii="Times New Roman"/>
                <w:b w:val="false"/>
                <w:i w:val="false"/>
                <w:color w:val="000000"/>
                <w:sz w:val="20"/>
              </w:rPr>
              <w:t xml:space="preserve">Успенского района </w:t>
            </w:r>
            <w:r>
              <w:br/>
            </w:r>
            <w:r>
              <w:rPr>
                <w:rFonts w:ascii="Times New Roman"/>
                <w:b w:val="false"/>
                <w:i w:val="false"/>
                <w:color w:val="000000"/>
                <w:sz w:val="20"/>
              </w:rPr>
              <w:t xml:space="preserve">от 22 июня 2018 года </w:t>
            </w:r>
            <w:r>
              <w:br/>
            </w:r>
            <w:r>
              <w:rPr>
                <w:rFonts w:ascii="Times New Roman"/>
                <w:b w:val="false"/>
                <w:i w:val="false"/>
                <w:color w:val="000000"/>
                <w:sz w:val="20"/>
              </w:rPr>
              <w:t>№ 152/31</w:t>
            </w:r>
          </w:p>
        </w:tc>
      </w:tr>
    </w:tbl>
    <w:bookmarkStart w:name="z5" w:id="2"/>
    <w:p>
      <w:pPr>
        <w:spacing w:after="0"/>
        <w:ind w:left="0"/>
        <w:jc w:val="left"/>
      </w:pPr>
      <w:r>
        <w:rPr>
          <w:rFonts w:ascii="Times New Roman"/>
          <w:b/>
          <w:i w:val="false"/>
          <w:color w:val="000000"/>
        </w:rPr>
        <w:t xml:space="preserve"> Об утверждении регламента собрания местного сообщества сельских округов Успенского района</w:t>
      </w:r>
    </w:p>
    <w:bookmarkEnd w:id="2"/>
    <w:bookmarkStart w:name="z6" w:id="3"/>
    <w:p>
      <w:pPr>
        <w:spacing w:after="0"/>
        <w:ind w:left="0"/>
        <w:jc w:val="left"/>
      </w:pPr>
      <w:r>
        <w:rPr>
          <w:rFonts w:ascii="Times New Roman"/>
          <w:b/>
          <w:i w:val="false"/>
          <w:color w:val="000000"/>
        </w:rPr>
        <w:t xml:space="preserve"> Глава 1. Общие положения</w:t>
      </w:r>
    </w:p>
    <w:bookmarkEnd w:id="3"/>
    <w:p>
      <w:pPr>
        <w:spacing w:after="0"/>
        <w:ind w:left="0"/>
        <w:jc w:val="both"/>
      </w:pPr>
      <w:r>
        <w:rPr>
          <w:rFonts w:ascii="Times New Roman"/>
          <w:b w:val="false"/>
          <w:i w:val="false"/>
          <w:color w:val="000000"/>
          <w:sz w:val="28"/>
        </w:rPr>
        <w:t>
      1. Настоящий регламент собрания местного сообщества сельских округов Успенского района (далее – Регламент) разработан в соответствии со статьей 39-3 Закона Республики Казахстан "О местном государственном управлении и самоуправлении в Республике Казахстан" (далее – Закон), Типовым регламентом собрания местного сообщества, утвержденного приказом Министра национальной экономики Республики Казахстан от 7 августа 2017 года № 295.</w:t>
      </w:r>
    </w:p>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деятельности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Регламент собрания утверждается Успенским районным маслихатом (далее – районный маслихат).</w:t>
      </w:r>
    </w:p>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Start w:name="z7" w:id="4"/>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4"/>
    <w:p>
      <w:pPr>
        <w:spacing w:after="0"/>
        <w:ind w:left="0"/>
        <w:jc w:val="both"/>
      </w:pPr>
      <w:r>
        <w:rPr>
          <w:rFonts w:ascii="Times New Roman"/>
          <w:b w:val="false"/>
          <w:i w:val="false"/>
          <w:color w:val="000000"/>
          <w:sz w:val="28"/>
        </w:rPr>
        <w:t>
      4. Собрание проводится по текущим вопросам местного значения:</w:t>
      </w:r>
    </w:p>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Успенскую районную территориальную избирательную комиссию для регистрации в качестве кандидата в акимы сельского округа;</w:t>
      </w:r>
    </w:p>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both"/>
      </w:pPr>
      <w:r>
        <w:rPr>
          <w:rFonts w:ascii="Times New Roman"/>
          <w:b w:val="false"/>
          <w:i w:val="false"/>
          <w:color w:val="000000"/>
          <w:sz w:val="28"/>
        </w:rPr>
        <w:t>
      5. Собрание созывается и проводится акимами сельских округов самостоятельно либо по инициативе не менее десяти процентов членов собрания, но не реже одного раза в квартал.</w:t>
      </w:r>
    </w:p>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both"/>
      </w:pPr>
      <w:r>
        <w:rPr>
          <w:rFonts w:ascii="Times New Roman"/>
          <w:b w:val="false"/>
          <w:i w:val="false"/>
          <w:color w:val="000000"/>
          <w:sz w:val="28"/>
        </w:rPr>
        <w:t>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официальный сайт акимата района, средства массовой информации, социальные сети, за исключением случая, предусмотренного подпунктом 4-3)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p>
      <w:pPr>
        <w:spacing w:after="0"/>
        <w:ind w:left="0"/>
        <w:jc w:val="both"/>
      </w:pPr>
      <w:r>
        <w:rPr>
          <w:rFonts w:ascii="Times New Roman"/>
          <w:b w:val="false"/>
          <w:i w:val="false"/>
          <w:color w:val="000000"/>
          <w:sz w:val="28"/>
        </w:rPr>
        <w:t>
      Не имеют права участвовать на собрании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p>
      <w:pPr>
        <w:spacing w:after="0"/>
        <w:ind w:left="0"/>
        <w:jc w:val="both"/>
      </w:pPr>
      <w:r>
        <w:rPr>
          <w:rFonts w:ascii="Times New Roman"/>
          <w:b w:val="false"/>
          <w:i w:val="false"/>
          <w:color w:val="000000"/>
          <w:sz w:val="28"/>
        </w:rPr>
        <w:t>
      9. Повестка дня собрания формируется аппаратом акима на основе предложений, вносимых членами собрания, акимом соответствующей территории.</w:t>
      </w:r>
    </w:p>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районного маслихата, представители средств массовой информации и общественных объединений.</w:t>
      </w:r>
    </w:p>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8" w:id="5"/>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рассмотрение в районный маслихат.</w:t>
      </w:r>
    </w:p>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районный маслихат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районного маслихата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через официальный сайт акимата района, средства массовой информации, социальные сети.</w:t>
      </w:r>
    </w:p>
    <w:bookmarkStart w:name="z9" w:id="6"/>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6"/>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 гражданско-правовой, дисциплинарной, административной, уголовной ответственности должностных лиц перед акимом района или вышестоящим руководством соответствующих должностных лиц.</w:t>
      </w:r>
    </w:p>
    <w:p>
      <w:pPr>
        <w:spacing w:after="0"/>
        <w:ind w:left="0"/>
        <w:jc w:val="both"/>
      </w:pPr>
      <w:r>
        <w:rPr>
          <w:rFonts w:ascii="Times New Roman"/>
          <w:b w:val="false"/>
          <w:i w:val="false"/>
          <w:color w:val="000000"/>
          <w:sz w:val="28"/>
        </w:rPr>
        <w:t>
      За невыполнение или ненадлежащее выполнение своих служебных обязанностей государственные служащие несут гражданско-правовую, дисциплинарную, административную, уголовную ответственность в соответствии с законами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