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98e7" w14:textId="e9e9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Павлодар</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1 ноября 2022 года № 1759/3</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города Павлодар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Павлодар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Павлодар.</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Павлодара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города Павлодар</w:t>
            </w:r>
            <w:r>
              <w:br/>
            </w:r>
            <w:r>
              <w:rPr>
                <w:rFonts w:ascii="Times New Roman"/>
                <w:b w:val="false"/>
                <w:i w:val="false"/>
                <w:color w:val="000000"/>
                <w:sz w:val="20"/>
              </w:rPr>
              <w:t xml:space="preserve">от "1" ноября 2022 года </w:t>
            </w:r>
            <w:r>
              <w:br/>
            </w:r>
            <w:r>
              <w:rPr>
                <w:rFonts w:ascii="Times New Roman"/>
                <w:b w:val="false"/>
                <w:i w:val="false"/>
                <w:color w:val="000000"/>
                <w:sz w:val="20"/>
              </w:rPr>
              <w:t>№ 1759/3</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Павлодар</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 w:id="33"/>
    <w:p>
      <w:pPr>
        <w:spacing w:after="0"/>
        <w:ind w:left="0"/>
        <w:jc w:val="left"/>
      </w:pPr>
      <w:r>
        <w:rPr>
          <w:rFonts w:ascii="Times New Roman"/>
          <w:b/>
          <w:i w:val="false"/>
          <w:color w:val="000000"/>
        </w:rPr>
        <w:t xml:space="preserve"> Коммунальный паспорт объектов нежилых помещений</w:t>
      </w:r>
    </w:p>
    <w:bookmarkEnd w:id="33"/>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м2__________________________________</w:t>
      </w:r>
    </w:p>
    <w:p>
      <w:pPr>
        <w:spacing w:after="0"/>
        <w:ind w:left="0"/>
        <w:jc w:val="both"/>
      </w:pPr>
      <w:r>
        <w:rPr>
          <w:rFonts w:ascii="Times New Roman"/>
          <w:b w:val="false"/>
          <w:i w:val="false"/>
          <w:color w:val="000000"/>
          <w:sz w:val="28"/>
        </w:rPr>
        <w:t xml:space="preserve">
      торговая________________________________________________________ </w:t>
      </w:r>
    </w:p>
    <w:p>
      <w:pPr>
        <w:spacing w:after="0"/>
        <w:ind w:left="0"/>
        <w:jc w:val="both"/>
      </w:pPr>
      <w:r>
        <w:rPr>
          <w:rFonts w:ascii="Times New Roman"/>
          <w:b w:val="false"/>
          <w:i w:val="false"/>
          <w:color w:val="000000"/>
          <w:sz w:val="28"/>
        </w:rPr>
        <w:t>
      складская и подсобная____________________________________________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9.Тип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34"/>
    <w:p>
      <w:pPr>
        <w:spacing w:after="0"/>
        <w:ind w:left="0"/>
        <w:jc w:val="left"/>
      </w:pPr>
      <w:r>
        <w:rPr>
          <w:rFonts w:ascii="Times New Roman"/>
          <w:b/>
          <w:i w:val="false"/>
          <w:color w:val="000000"/>
        </w:rPr>
        <w:t xml:space="preserve"> Бланк первичных записей</w:t>
      </w:r>
    </w:p>
    <w:bookmarkEnd w:id="34"/>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3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5"/>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p>
            <w:pPr>
              <w:spacing w:after="20"/>
              <w:ind w:left="20"/>
              <w:jc w:val="both"/>
            </w:pPr>
            <w:r>
              <w:rPr>
                <w:rFonts w:ascii="Times New Roman"/>
                <w:b w:val="false"/>
                <w:i w:val="false"/>
                <w:color w:val="000000"/>
                <w:sz w:val="20"/>
              </w:rPr>
              <w:t>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w:t>
            </w:r>
          </w:p>
          <w:p>
            <w:pPr>
              <w:spacing w:after="20"/>
              <w:ind w:left="20"/>
              <w:jc w:val="both"/>
            </w:pPr>
            <w:r>
              <w:rPr>
                <w:rFonts w:ascii="Times New Roman"/>
                <w:b w:val="false"/>
                <w:i w:val="false"/>
                <w:color w:val="000000"/>
                <w:sz w:val="20"/>
              </w:rPr>
              <w:t>
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w:t>
            </w:r>
          </w:p>
          <w:p>
            <w:pPr>
              <w:spacing w:after="20"/>
              <w:ind w:left="20"/>
              <w:jc w:val="both"/>
            </w:pPr>
            <w:r>
              <w:rPr>
                <w:rFonts w:ascii="Times New Roman"/>
                <w:b w:val="false"/>
                <w:i w:val="false"/>
                <w:color w:val="000000"/>
                <w:sz w:val="20"/>
              </w:rPr>
              <w:t>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3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6"/>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xml:space="preserve">
      Подписи_____________ </w:t>
      </w:r>
    </w:p>
    <w:p>
      <w:pPr>
        <w:spacing w:after="0"/>
        <w:ind w:left="0"/>
        <w:jc w:val="both"/>
      </w:pPr>
      <w:r>
        <w:rPr>
          <w:rFonts w:ascii="Times New Roman"/>
          <w:b w:val="false"/>
          <w:i w:val="false"/>
          <w:color w:val="000000"/>
          <w:sz w:val="28"/>
        </w:rPr>
        <w:t xml:space="preserve">
      Ф.И.О.(при его наличии), должность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