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220c" w14:textId="eb72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акимата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17 ноября 2022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акимата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Узункольского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Узункольского района" (далее Отдел) является государственным органом Республики Казахстан, осуществляющим руководство в сфере сельского хозяйства.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по вопросам своей компетенции в установленном законодательством порядке принимает решения, оформляемые приказами руководителя Отдела, правовыми актами акима Узункольского района, предусмотренными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Отдела утверждаются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111800, Республика Казахстан, Костанайская область, Узункольский район, село Узунколь, улица Мусрепова, дом 14.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мер продовольственной безопасности района, формирование эффективной системы;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рационального и эффективного функционирования аграрного сектора района;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общественными организациями и средствами массовой информации.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свою деятельность во взаимодействии с другими органами исполнительной власти и местного самоуправления;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по запросам Отдела в установленном законодательством порядке необходимые информационные материалы из местных государственных органов управления и в других организациях в пределах своей компетенции;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проектам нормативно-правовых актов, принимаемых акимом района по вопросам компетенции Отдела;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для участия в разработке и реализации программ специалистов других организаций, управлений и ведомств;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права в соответствии с действующим законодательством Республики.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объемов продаж сельскохозяйственной продукции и продуктов ее переработки на внутренних и внешних рынках на основе конкурентоспособности;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реализация программ развития агропромышленного комплекса;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инвестиций для ускоренного экономического роста и повышения экспортного потенциала сельскохозяйственного производства;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распространение передового опыта в области сельскохозяйственного производства;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содействия в развитии маркетинговых служб и формирования системы информационного обеспечения агропромышленного комплекса;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изучение ситуации на внутреннем и внешнем продовольственных рынках и доведение ее до сведения сельских товаропроизводителей;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формирования рыночной инфраструктуры, первичной переработке сельхозпродукции, функционирования оптовых и биржевых рынков по реализации сельхозпродукции и маркетингу товарных рынков;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мониторинга внутреннего рынка сельхозпродукции и продуктов переработки, ведение мониторинга по переработке сельскохозяйственной продукции;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производит анализ кадрового потенциала, прогноз его потребности в специалистах, разработку мероприятий по подготовке, повышению квалификации и переподготовке кадров;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оказывает содействие рациональному использованию производственного потенциала и возможностей района в самообеспечении и реализации излишков продукции, способствует расширению сети рынков по реализации, производимой в районе сельхозпродукции;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оказывает консультационную помощь в проведении региональных семинар-совещаний по вопросам развития сельхозмашиностроения, лизинга МТС (сервис-центров) и выставок сельскохозяйственной техники;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содействие субъектам агропромышленного комплекса в вопросах организации сельских кредитных товариществ, микро кредитных организаций;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анализ данных о наличии, потребности сельскохозяйственной техники, запасных частей, горюче-смазочных материалов и оказание помощи в их приобретении;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консультационной помощи сельхозтоваропроизводителям в проведении фитосанитарных мероприятий против болезней и вредителей сельскохозяйственной растений;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мониторинга зерна, осуществление взаимодействия с хлебоприемными предприятиями района;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взаимодействует с государственным учреждением "Управление сельского хозяйства акимата Костанайской области", с районным территориальным управлением Министерства сельского хозяйства, районным отделом земельных отношений;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функции управления агропромышленным комплексом района через акиматы сел и сельских округов;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обязательного страхования хозяйствующих субъектов в сфере растениеводства;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запрос и получение от участников страхового рынка и агента информации и документов, необходимых для осуществления своих функций;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лицензировании деятельности по хранению зерна;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сбор данных от хлебоприемных пунктов по формам ведомственной статистической отчетности;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прием заявок, рассмотрение документов, подтверждающих соответствие квалификационным требованиям качества семян;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мероприятий в области защиты растений;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иные функции, не запрещҰнные законодательством Республики Казахстан.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Узункольского района.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Отдела: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Отдела в государственных органах, иных организациях независимо от форм собственности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Отдела;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Отделе, и несет персональную ответственность за принятие ненадлежащих антикоррупционных мер;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Отдела и несет персональную ответственность за выполнение возложенных задач и функций;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Отдела, осуществляющих техническое обслуживание и обеспечивающих функционирование Отдела и не являющихся государственными служащими, вопросы трудовых отношений которых отнесены к его компетенции;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устанавливается в соответствии с регламентом работы Отдела, утвержденного приказом первого руководителя Отдела.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Отдела в период его отсутствия осуществляется лицом, его замещающим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Отдел возглавляется руководителем, назначаемым на должность и освобождаемым от должности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Отдел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Отдела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