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395" w14:textId="45cd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2022 года № 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Сарыкольского района, меры государственной поддержки, предусмотренные пунктом 1 настоящего решения, предоставляются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