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b7ee" w14:textId="fa2b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30 декабря 2019 года № 272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12 апреля 2022 года № 93</w:t>
      </w:r>
    </w:p>
    <w:p>
      <w:pPr>
        <w:spacing w:after="0"/>
        <w:ind w:left="0"/>
        <w:jc w:val="both"/>
      </w:pPr>
      <w:bookmarkStart w:name="z4" w:id="0"/>
      <w:r>
        <w:rPr>
          <w:rFonts w:ascii="Times New Roman"/>
          <w:b w:val="false"/>
          <w:i w:val="false"/>
          <w:color w:val="000000"/>
          <w:sz w:val="28"/>
        </w:rPr>
        <w:t>
      Джангельдинский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30 декабря 2019 года № 272 (зарегистрировано в Реестре государственной регистрации нормативных правовых актов за № 8872)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Джангельдинский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bookmarkStart w:name="z11"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2"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3"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bookmarkEnd w:id="6"/>
    <w:bookmarkStart w:name="z14"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5"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6" w:id="9"/>
    <w:p>
      <w:pPr>
        <w:spacing w:after="0"/>
        <w:ind w:left="0"/>
        <w:jc w:val="both"/>
      </w:pPr>
      <w:r>
        <w:rPr>
          <w:rFonts w:ascii="Times New Roman"/>
          <w:b w:val="false"/>
          <w:i w:val="false"/>
          <w:color w:val="000000"/>
          <w:sz w:val="28"/>
        </w:rPr>
        <w:t>
      3) 15-20 тысяч населения – 16-20 членов собрания;</w:t>
      </w:r>
    </w:p>
    <w:bookmarkEnd w:id="9"/>
    <w:bookmarkStart w:name="z17" w:id="10"/>
    <w:p>
      <w:pPr>
        <w:spacing w:after="0"/>
        <w:ind w:left="0"/>
        <w:jc w:val="both"/>
      </w:pPr>
      <w:r>
        <w:rPr>
          <w:rFonts w:ascii="Times New Roman"/>
          <w:b w:val="false"/>
          <w:i w:val="false"/>
          <w:color w:val="000000"/>
          <w:sz w:val="28"/>
        </w:rPr>
        <w:t>
      4) свыше 20 тысяч населения – 21-25 членов собрания.</w:t>
      </w:r>
    </w:p>
    <w:bookmarkEnd w:id="10"/>
    <w:bookmarkStart w:name="z18" w:id="1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1"/>
    <w:bookmarkStart w:name="z19" w:id="12"/>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3"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4" w:id="16"/>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bookmarkEnd w:id="16"/>
    <w:bookmarkStart w:name="z25" w:id="17"/>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6" w:id="18"/>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bookmarkEnd w:id="18"/>
    <w:bookmarkStart w:name="z27"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bookmarkEnd w:id="19"/>
    <w:bookmarkStart w:name="z28"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bookmarkEnd w:id="20"/>
    <w:bookmarkStart w:name="z29" w:id="21"/>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bookmarkEnd w:id="21"/>
    <w:bookmarkStart w:name="z30"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31" w:id="2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сельского округа для дальнейшего внесения в соответствующую районную избирательную комиссию для регистрации в качестве кандидата в акимы села, сельского округа;</w:t>
      </w:r>
    </w:p>
    <w:bookmarkEnd w:id="23"/>
    <w:bookmarkStart w:name="z32" w:id="24"/>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bookmarkEnd w:id="24"/>
    <w:bookmarkStart w:name="z33"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4"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5" w:id="27"/>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7"/>
    <w:bookmarkStart w:name="z36"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7"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bookmarkStart w:name="z38"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через доступные средства связи.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2"/>
    <w:bookmarkStart w:name="z42"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bookmarkStart w:name="z43" w:id="3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4"/>
    <w:bookmarkStart w:name="z44" w:id="3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"13. Решения, принятые собранием, рассматриваются акимом села, сельского округа и доводятся аппаратом акима села, сельского округа до членов собрания в срок не более пяти рабочих дней.</w:t>
      </w:r>
    </w:p>
    <w:bookmarkEnd w:id="36"/>
    <w:bookmarkStart w:name="z47" w:id="3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7"/>
    <w:bookmarkStart w:name="z48" w:id="3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bookmarkEnd w:id="38"/>
    <w:bookmarkStart w:name="z49" w:id="39"/>
    <w:p>
      <w:pPr>
        <w:spacing w:after="0"/>
        <w:ind w:left="0"/>
        <w:jc w:val="both"/>
      </w:pPr>
      <w:r>
        <w:rPr>
          <w:rFonts w:ascii="Times New Roman"/>
          <w:b w:val="false"/>
          <w:i w:val="false"/>
          <w:color w:val="000000"/>
          <w:sz w:val="28"/>
        </w:rPr>
        <w:t>
      Аким села,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9"/>
    <w:bookmarkStart w:name="z50" w:id="4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0"/>
    <w:bookmarkStart w:name="z51"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Джангельдинского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