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ab7d" w14:textId="57da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Денисовского районного маслихата Костанайской области от 29 января 2020 года № 7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16 марта 2022 года № 21</w:t>
      </w:r>
    </w:p>
    <w:p>
      <w:pPr>
        <w:spacing w:after="0"/>
        <w:ind w:left="0"/>
        <w:jc w:val="both"/>
      </w:pPr>
      <w:bookmarkStart w:name="z4" w:id="0"/>
      <w:r>
        <w:rPr>
          <w:rFonts w:ascii="Times New Roman"/>
          <w:b w:val="false"/>
          <w:i w:val="false"/>
          <w:color w:val="000000"/>
          <w:sz w:val="28"/>
        </w:rPr>
        <w:t>
      Денисовкий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29 января 2020 года № 7 (зарегистрировано в Реестре государственной регистрации нормативных правовых актов под № 8941)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Денисовкий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и сельского округа: до 10 тысяч населения - 5-10 членов собрания;</w:t>
      </w:r>
    </w:p>
    <w:bookmarkEnd w:id="6"/>
    <w:bookmarkStart w:name="z12" w:id="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bookmarkStart w:name="z13" w:id="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5"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bookmarkStart w:name="z16"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
    <w:bookmarkStart w:name="z17" w:id="11"/>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bookmarkEnd w:id="11"/>
    <w:bookmarkStart w:name="z18" w:id="12"/>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2"/>
    <w:bookmarkStart w:name="z19" w:id="13"/>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bookmarkEnd w:id="13"/>
    <w:bookmarkStart w:name="z20" w:id="1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bookmarkEnd w:id="14"/>
    <w:bookmarkStart w:name="z21" w:id="1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bookmarkEnd w:id="15"/>
    <w:bookmarkStart w:name="z22" w:id="16"/>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bookmarkEnd w:id="16"/>
    <w:bookmarkStart w:name="z23" w:id="1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
    <w:bookmarkStart w:name="z24" w:id="1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 сельских округов для дальнейшего внесения в районную избирательную комиссию для регистрации в качестве кандидата в акимы сел, сельских округов;</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сельских округов;</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bookmarkStart w:name="z27" w:id="21"/>
    <w:p>
      <w:pPr>
        <w:spacing w:after="0"/>
        <w:ind w:left="0"/>
        <w:jc w:val="both"/>
      </w:pPr>
      <w:r>
        <w:rPr>
          <w:rFonts w:ascii="Times New Roman"/>
          <w:b w:val="false"/>
          <w:i w:val="false"/>
          <w:color w:val="000000"/>
          <w:sz w:val="28"/>
        </w:rPr>
        <w:t>
      другие текущие вопросы местного сообщества.";</w:t>
      </w:r>
    </w:p>
    <w:bookmarkEnd w:id="21"/>
    <w:bookmarkStart w:name="z28" w:id="22"/>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2"/>
    <w:bookmarkStart w:name="z29"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
    <w:bookmarkStart w:name="z30" w:id="2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32" w:id="2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5"/>
    <w:bookmarkStart w:name="z33" w:id="2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5" w:id="2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27"/>
    <w:bookmarkStart w:name="z36" w:id="2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8"/>
    <w:bookmarkStart w:name="z37" w:id="2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29"/>
    <w:bookmarkStart w:name="z38" w:id="3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40" w:id="31"/>
    <w:p>
      <w:pPr>
        <w:spacing w:after="0"/>
        <w:ind w:left="0"/>
        <w:jc w:val="both"/>
      </w:pPr>
      <w:r>
        <w:rPr>
          <w:rFonts w:ascii="Times New Roman"/>
          <w:b w:val="false"/>
          <w:i w:val="false"/>
          <w:color w:val="000000"/>
          <w:sz w:val="28"/>
        </w:rPr>
        <w:t>
      "13. Решения, принятые собранием, рассматриваются акимами сел, сельских округов и доводятся аппаратом акима села, сельского округа до членов собрания в срок не более пяти рабочих дней.</w:t>
      </w:r>
    </w:p>
    <w:bookmarkEnd w:id="31"/>
    <w:bookmarkStart w:name="z41" w:id="3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2"/>
    <w:bookmarkStart w:name="z42" w:id="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района.</w:t>
      </w:r>
    </w:p>
    <w:bookmarkEnd w:id="33"/>
    <w:bookmarkStart w:name="z43" w:id="34"/>
    <w:p>
      <w:pPr>
        <w:spacing w:after="0"/>
        <w:ind w:left="0"/>
        <w:jc w:val="both"/>
      </w:pPr>
      <w:r>
        <w:rPr>
          <w:rFonts w:ascii="Times New Roman"/>
          <w:b w:val="false"/>
          <w:i w:val="false"/>
          <w:color w:val="000000"/>
          <w:sz w:val="28"/>
        </w:rPr>
        <w:t>
      Акимы сел, сельских округов, в течение двух рабочих дней, направляют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4"/>
    <w:bookmarkStart w:name="z44" w:id="3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5"/>
    <w:bookmarkStart w:name="z45" w:id="3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