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20db" w14:textId="38e2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30 декабря 2019 года № 336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28 апреля 2022 года № 116</w:t>
      </w:r>
    </w:p>
    <w:p>
      <w:pPr>
        <w:spacing w:after="0"/>
        <w:ind w:left="0"/>
        <w:jc w:val="both"/>
      </w:pPr>
      <w:bookmarkStart w:name="z4" w:id="0"/>
      <w:r>
        <w:rPr>
          <w:rFonts w:ascii="Times New Roman"/>
          <w:b w:val="false"/>
          <w:i w:val="false"/>
          <w:color w:val="000000"/>
          <w:sz w:val="28"/>
        </w:rPr>
        <w:t>
      Амангельдинский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30 декабря 2019 года № 272 (зарегистрировано в Реестре государственной регистрации нормативных правовых актов за № 8880)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Амангельдинский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w:t>
      </w:r>
    </w:p>
    <w:bookmarkStart w:name="z11"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2"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3"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bookmarkEnd w:id="6"/>
    <w:bookmarkStart w:name="z14"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5" w:id="8"/>
    <w:p>
      <w:pPr>
        <w:spacing w:after="0"/>
        <w:ind w:left="0"/>
        <w:jc w:val="both"/>
      </w:pPr>
      <w:r>
        <w:rPr>
          <w:rFonts w:ascii="Times New Roman"/>
          <w:b w:val="false"/>
          <w:i w:val="false"/>
          <w:color w:val="000000"/>
          <w:sz w:val="28"/>
        </w:rPr>
        <w:t>
      2) 10-15 тысяч населения – 11-15 членов собрания;</w:t>
      </w:r>
    </w:p>
    <w:bookmarkEnd w:id="8"/>
    <w:bookmarkStart w:name="z16" w:id="9"/>
    <w:p>
      <w:pPr>
        <w:spacing w:after="0"/>
        <w:ind w:left="0"/>
        <w:jc w:val="both"/>
      </w:pPr>
      <w:r>
        <w:rPr>
          <w:rFonts w:ascii="Times New Roman"/>
          <w:b w:val="false"/>
          <w:i w:val="false"/>
          <w:color w:val="000000"/>
          <w:sz w:val="28"/>
        </w:rPr>
        <w:t>
      3) 15-20 тысяч населения – 16-20 членов собрания;</w:t>
      </w:r>
    </w:p>
    <w:bookmarkEnd w:id="9"/>
    <w:bookmarkStart w:name="z17" w:id="10"/>
    <w:p>
      <w:pPr>
        <w:spacing w:after="0"/>
        <w:ind w:left="0"/>
        <w:jc w:val="both"/>
      </w:pPr>
      <w:r>
        <w:rPr>
          <w:rFonts w:ascii="Times New Roman"/>
          <w:b w:val="false"/>
          <w:i w:val="false"/>
          <w:color w:val="000000"/>
          <w:sz w:val="28"/>
        </w:rPr>
        <w:t>
      4) свыше 20 тысяч населения – 21-25 членов собрания.</w:t>
      </w:r>
    </w:p>
    <w:bookmarkEnd w:id="10"/>
    <w:bookmarkStart w:name="z18" w:id="11"/>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1"/>
    <w:bookmarkStart w:name="z19" w:id="12"/>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3"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4" w:id="16"/>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bookmarkEnd w:id="16"/>
    <w:bookmarkStart w:name="z25" w:id="17"/>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6" w:id="18"/>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bookmarkEnd w:id="18"/>
    <w:bookmarkStart w:name="z27"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bookmarkEnd w:id="19"/>
    <w:bookmarkStart w:name="z28"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сельских округов;</w:t>
      </w:r>
    </w:p>
    <w:bookmarkEnd w:id="20"/>
    <w:bookmarkStart w:name="z29" w:id="21"/>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bookmarkEnd w:id="21"/>
    <w:bookmarkStart w:name="z30"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31" w:id="2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сельских округов для дальнейшего внесения в соответствующую районную избирательную комиссию для регистрации в качестве кандидата в акимы села, сельского округа;</w:t>
      </w:r>
    </w:p>
    <w:bookmarkEnd w:id="23"/>
    <w:bookmarkStart w:name="z32" w:id="24"/>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сельского округа;</w:t>
      </w:r>
    </w:p>
    <w:bookmarkEnd w:id="24"/>
    <w:bookmarkStart w:name="z33"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bookmarkStart w:name="z34" w:id="26"/>
    <w:p>
      <w:pPr>
        <w:spacing w:after="0"/>
        <w:ind w:left="0"/>
        <w:jc w:val="both"/>
      </w:pPr>
      <w:r>
        <w:rPr>
          <w:rFonts w:ascii="Times New Roman"/>
          <w:b w:val="false"/>
          <w:i w:val="false"/>
          <w:color w:val="000000"/>
          <w:sz w:val="28"/>
        </w:rPr>
        <w:t>
      другие текущие вопросы местного сообщества.</w:t>
      </w:r>
    </w:p>
    <w:bookmarkEnd w:id="26"/>
    <w:bookmarkStart w:name="z35" w:id="27"/>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7"/>
    <w:bookmarkStart w:name="z36"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
    <w:bookmarkStart w:name="z37" w:id="2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9"/>
    <w:bookmarkStart w:name="z38"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0"/>
    <w:bookmarkStart w:name="z39" w:id="3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2"/>
    <w:bookmarkStart w:name="z42"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3"/>
    <w:bookmarkStart w:name="z43" w:id="3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4"/>
    <w:bookmarkStart w:name="z44" w:id="3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акимом села,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"13. Решения, принятые собранием, рассматриваются акимами села, сельских округов и доводятся аппаратом акима села, сельского округа до членов собрания в срок не более пяти рабочих дней.</w:t>
      </w:r>
    </w:p>
    <w:bookmarkEnd w:id="36"/>
    <w:bookmarkStart w:name="z47" w:id="3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7"/>
    <w:bookmarkStart w:name="z48" w:id="3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района.</w:t>
      </w:r>
    </w:p>
    <w:bookmarkEnd w:id="38"/>
    <w:bookmarkStart w:name="z49" w:id="39"/>
    <w:p>
      <w:pPr>
        <w:spacing w:after="0"/>
        <w:ind w:left="0"/>
        <w:jc w:val="both"/>
      </w:pPr>
      <w:r>
        <w:rPr>
          <w:rFonts w:ascii="Times New Roman"/>
          <w:b w:val="false"/>
          <w:i w:val="false"/>
          <w:color w:val="000000"/>
          <w:sz w:val="28"/>
        </w:rPr>
        <w:t>
      Акимы села, сельских округов,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9"/>
    <w:bookmarkStart w:name="z50" w:id="40"/>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0"/>
    <w:bookmarkStart w:name="z51" w:id="4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