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47f4" w14:textId="f5e4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28 января 2020 года № 297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Аркалыка Костанайской области от 12 апреля 2022 года № 109</w:t>
      </w:r>
    </w:p>
    <w:p>
      <w:pPr>
        <w:spacing w:after="0"/>
        <w:ind w:left="0"/>
        <w:jc w:val="both"/>
      </w:pPr>
      <w:bookmarkStart w:name="z4" w:id="0"/>
      <w:r>
        <w:rPr>
          <w:rFonts w:ascii="Times New Roman"/>
          <w:b w:val="false"/>
          <w:i w:val="false"/>
          <w:color w:val="000000"/>
          <w:sz w:val="28"/>
        </w:rPr>
        <w:t>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28 января 2020 года № 297 (зарегистрировано в Реестре государственной регистрации нормативных правовых актов за № 8942)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Аркалыкский городской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и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4"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5"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6" w:id="1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1"/>
    <w:bookmarkStart w:name="z17" w:id="12"/>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9"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0"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1" w:id="15"/>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bookmarkEnd w:id="15"/>
    <w:bookmarkStart w:name="z22" w:id="16"/>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3" w:id="17"/>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17"/>
    <w:bookmarkStart w:name="z24"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bookmarkEnd w:id="18"/>
    <w:bookmarkStart w:name="z25"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bookmarkEnd w:id="19"/>
    <w:bookmarkStart w:name="z26" w:id="20"/>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End w:id="20"/>
    <w:bookmarkStart w:name="z27"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8" w:id="22"/>
    <w:p>
      <w:pPr>
        <w:spacing w:after="0"/>
        <w:ind w:left="0"/>
        <w:jc w:val="both"/>
      </w:pPr>
      <w:r>
        <w:rPr>
          <w:rFonts w:ascii="Times New Roman"/>
          <w:b w:val="false"/>
          <w:i w:val="false"/>
          <w:color w:val="000000"/>
          <w:sz w:val="28"/>
        </w:rPr>
        <w:t>
      согласование представленных акимом города кандидатур на должность акима села, сельского округа для дальнейшего внесения в городскую избирательную комиссию для регистрации в качестве кандидата в акимы села, сельского округа;</w:t>
      </w:r>
    </w:p>
    <w:bookmarkEnd w:id="22"/>
    <w:bookmarkStart w:name="z29" w:id="23"/>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23"/>
    <w:bookmarkStart w:name="z30"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1"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2" w:id="26"/>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3"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4"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5"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29"/>
    <w:bookmarkStart w:name="z36"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8" w:id="31"/>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31"/>
    <w:bookmarkStart w:name="z39"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40"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33"/>
    <w:bookmarkStart w:name="z41" w:id="3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43" w:id="35"/>
    <w:p>
      <w:pPr>
        <w:spacing w:after="0"/>
        <w:ind w:left="0"/>
        <w:jc w:val="both"/>
      </w:pPr>
      <w:r>
        <w:rPr>
          <w:rFonts w:ascii="Times New Roman"/>
          <w:b w:val="false"/>
          <w:i w:val="false"/>
          <w:color w:val="000000"/>
          <w:sz w:val="28"/>
        </w:rPr>
        <w:t>
      "13. Решения, принятые собранием, рассматриваются акимом села, сельского округа и доводятся аппаратом акима села, сельского округа до членов собрания в срок не более пяти рабочих дней.</w:t>
      </w:r>
    </w:p>
    <w:bookmarkEnd w:id="35"/>
    <w:bookmarkStart w:name="z44" w:id="3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6"/>
    <w:bookmarkStart w:name="z45"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города.</w:t>
      </w:r>
    </w:p>
    <w:bookmarkEnd w:id="37"/>
    <w:bookmarkStart w:name="z46" w:id="38"/>
    <w:p>
      <w:pPr>
        <w:spacing w:after="0"/>
        <w:ind w:left="0"/>
        <w:jc w:val="both"/>
      </w:pPr>
      <w:r>
        <w:rPr>
          <w:rFonts w:ascii="Times New Roman"/>
          <w:b w:val="false"/>
          <w:i w:val="false"/>
          <w:color w:val="000000"/>
          <w:sz w:val="28"/>
        </w:rPr>
        <w:t>
      Аким села, сельского округа, в течение двух рабочих дней, направляют в адрес акима города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47" w:id="39"/>
    <w:p>
      <w:pPr>
        <w:spacing w:after="0"/>
        <w:ind w:left="0"/>
        <w:jc w:val="both"/>
      </w:pPr>
      <w:r>
        <w:rPr>
          <w:rFonts w:ascii="Times New Roman"/>
          <w:b w:val="false"/>
          <w:i w:val="false"/>
          <w:color w:val="000000"/>
          <w:sz w:val="28"/>
        </w:rPr>
        <w:t xml:space="preserve">
      Аким города после предварительного обсуждения и его решения на ближайшем заседании городского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48" w:id="4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