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9247" w14:textId="ded9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Кармакшинском районе</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11 апреля 2022 года № 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от 16 апреля 1997 года № 94 акимат Кармакшинского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Кармакшинском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Кармакшинского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Кармакшинского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Кармакшинского района</w:t>
            </w:r>
            <w:r>
              <w:br/>
            </w:r>
            <w:r>
              <w:rPr>
                <w:rFonts w:ascii="Times New Roman"/>
                <w:b w:val="false"/>
                <w:i w:val="false"/>
                <w:color w:val="000000"/>
                <w:sz w:val="20"/>
              </w:rPr>
              <w:t>от 11 апреля 2022 года № 11</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Кармакшинском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Кармакшинском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”от 16 апреля 1997 года № 94,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20542)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0"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1"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2"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3"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6"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7"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8"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9"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0"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1"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2"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3"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4"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5"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1"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2"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3"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4"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 представительным органом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10533),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статьи 10-2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нормативно правовыми актами Республики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5"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8"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9"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0"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1"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2"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3"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4"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5"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6"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7"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8"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9"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0"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1"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2" w:id="114"/>
    <w:p>
      <w:pPr>
        <w:spacing w:after="0"/>
        <w:ind w:left="0"/>
        <w:jc w:val="left"/>
      </w:pPr>
      <w:r>
        <w:rPr>
          <w:rFonts w:ascii="Times New Roman"/>
          <w:b/>
          <w:i w:val="false"/>
          <w:color w:val="000000"/>
        </w:rPr>
        <w:t xml:space="preserve"> Глава 6. Заключительные положения</w:t>
      </w:r>
    </w:p>
    <w:bookmarkEnd w:id="114"/>
    <w:bookmarkStart w:name="z123" w:id="11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 исполнительным органом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5"/>
    <w:bookmarkStart w:name="z124" w:id="11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6"/>
    <w:bookmarkStart w:name="z125" w:id="11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