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eee6" w14:textId="321e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Шидертинского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344. Утратило силу решением Осакаровского районного маслихата Карагандинской области от 17 ноября 2023 года № 13/130</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Шидертинского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Шидертинского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 Осакаровского</w:t>
            </w:r>
            <w:r>
              <w:br/>
            </w:r>
            <w:r>
              <w:rPr>
                <w:rFonts w:ascii="Times New Roman"/>
                <w:b w:val="false"/>
                <w:i w:val="false"/>
                <w:color w:val="000000"/>
                <w:sz w:val="20"/>
              </w:rPr>
              <w:t>районного маслихата №344</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Шидертинского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Шидертинского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Шидерты Шидертинского сельского округа Осакаровского района Карагандинской области (далее – село Шидерты).</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Шидерты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села Шидерты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Шидертинского сельского округа Осакаровского района Карагандинской области (далее - аким Шидертинского сельского округа).</w:t>
      </w:r>
    </w:p>
    <w:bookmarkEnd w:id="13"/>
    <w:bookmarkStart w:name="z20" w:id="14"/>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Шидертинского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 </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Шидертинского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села Шидерты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селе Шидерты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Шидертинского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Шидертинского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села Шидерты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Шидертинского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решению Осакаровского</w:t>
            </w:r>
            <w:r>
              <w:br/>
            </w:r>
            <w:r>
              <w:rPr>
                <w:rFonts w:ascii="Times New Roman"/>
                <w:b w:val="false"/>
                <w:i w:val="false"/>
                <w:color w:val="000000"/>
                <w:sz w:val="20"/>
              </w:rPr>
              <w:t>районного маслихата №344</w:t>
            </w:r>
            <w:r>
              <w:br/>
            </w:r>
            <w:r>
              <w:rPr>
                <w:rFonts w:ascii="Times New Roman"/>
                <w:b w:val="false"/>
                <w:i w:val="false"/>
                <w:color w:val="000000"/>
                <w:sz w:val="20"/>
              </w:rPr>
              <w:t>от "23" декабря 2022 г</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Шидерты Шидертинского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Шидерты Шидертинского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